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highlight w:val="none"/>
        </w:rPr>
      </w:pPr>
      <w:bookmarkStart w:id="92" w:name="_GoBack"/>
      <w:r>
        <w:rPr>
          <w:rFonts w:hint="eastAsia" w:ascii="黑体" w:hAnsi="黑体" w:eastAsia="黑体"/>
          <w:sz w:val="32"/>
          <w:szCs w:val="32"/>
          <w:highlight w:val="none"/>
        </w:rPr>
        <w:t xml:space="preserve">附件1： </w:t>
      </w:r>
    </w:p>
    <w:p>
      <w:pPr>
        <w:spacing w:line="540" w:lineRule="exact"/>
        <w:rPr>
          <w:rFonts w:ascii="方正小标宋_GBK" w:hAnsi="宋体" w:eastAsia="方正小标宋_GBK"/>
          <w:sz w:val="44"/>
          <w:szCs w:val="44"/>
          <w:highlight w:val="none"/>
        </w:rPr>
      </w:pPr>
    </w:p>
    <w:p>
      <w:pPr>
        <w:spacing w:line="540" w:lineRule="exact"/>
        <w:jc w:val="center"/>
        <w:rPr>
          <w:rFonts w:ascii="方正小标宋_GBK" w:hAnsi="宋体" w:eastAsia="方正小标宋_GBK"/>
          <w:sz w:val="44"/>
          <w:szCs w:val="44"/>
          <w:highlight w:val="none"/>
        </w:rPr>
      </w:pPr>
      <w:r>
        <w:rPr>
          <w:rFonts w:hint="eastAsia" w:ascii="方正小标宋_GBK" w:hAnsi="宋体" w:eastAsia="方正小标宋_GBK"/>
          <w:sz w:val="44"/>
          <w:szCs w:val="44"/>
          <w:highlight w:val="none"/>
        </w:rPr>
        <w:t>2018年度新疆喀什地区英吉沙县人民检察院部门决算</w:t>
      </w:r>
    </w:p>
    <w:p>
      <w:pPr>
        <w:spacing w:line="540" w:lineRule="exact"/>
        <w:jc w:val="center"/>
        <w:rPr>
          <w:rFonts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spacing w:line="540" w:lineRule="exact"/>
        <w:rPr>
          <w:rFonts w:ascii="仿宋_GB2312" w:hAnsi="宋体" w:eastAsia="仿宋_GB2312"/>
          <w:sz w:val="32"/>
          <w:szCs w:val="32"/>
          <w:highlight w:val="none"/>
        </w:rPr>
      </w:pPr>
    </w:p>
    <w:p>
      <w:pPr>
        <w:spacing w:line="540" w:lineRule="exact"/>
        <w:jc w:val="center"/>
        <w:rPr>
          <w:rFonts w:ascii="黑体" w:hAnsi="黑体" w:eastAsia="黑体"/>
          <w:bCs/>
          <w:kern w:val="0"/>
          <w:sz w:val="32"/>
          <w:szCs w:val="32"/>
          <w:highlight w:val="none"/>
        </w:rPr>
      </w:pPr>
      <w:r>
        <w:rPr>
          <w:rFonts w:hint="eastAsia" w:ascii="黑体" w:hAnsi="黑体" w:eastAsia="黑体"/>
          <w:bCs/>
          <w:kern w:val="0"/>
          <w:sz w:val="32"/>
          <w:szCs w:val="32"/>
          <w:highlight w:val="none"/>
        </w:rPr>
        <w:t>目  录</w:t>
      </w:r>
    </w:p>
    <w:p>
      <w:pPr>
        <w:spacing w:line="540" w:lineRule="exact"/>
        <w:rPr>
          <w:rFonts w:ascii="仿宋_GB2312" w:hAnsi="宋体" w:eastAsia="仿宋_GB2312"/>
          <w:b/>
          <w:kern w:val="0"/>
          <w:sz w:val="32"/>
          <w:szCs w:val="32"/>
          <w:highlight w:val="none"/>
        </w:rPr>
      </w:pPr>
    </w:p>
    <w:p>
      <w:pPr>
        <w:spacing w:line="540" w:lineRule="exact"/>
        <w:ind w:firstLine="640" w:firstLineChars="200"/>
        <w:rPr>
          <w:rFonts w:ascii="黑体" w:hAnsi="黑体" w:eastAsia="黑体"/>
          <w:kern w:val="0"/>
          <w:sz w:val="32"/>
          <w:szCs w:val="32"/>
          <w:highlight w:val="none"/>
        </w:rPr>
      </w:pPr>
      <w:r>
        <w:rPr>
          <w:rFonts w:hint="eastAsia" w:ascii="黑体" w:hAnsi="黑体" w:eastAsia="黑体"/>
          <w:kern w:val="0"/>
          <w:sz w:val="32"/>
          <w:szCs w:val="32"/>
          <w:highlight w:val="none"/>
        </w:rPr>
        <w:t>第一部分 部门单位概况</w:t>
      </w:r>
    </w:p>
    <w:p>
      <w:pPr>
        <w:spacing w:line="540" w:lineRule="exact"/>
        <w:ind w:firstLine="640" w:firstLineChars="200"/>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一、主要职能</w:t>
      </w:r>
    </w:p>
    <w:p>
      <w:pPr>
        <w:spacing w:line="540" w:lineRule="exact"/>
        <w:ind w:firstLine="640" w:firstLineChars="200"/>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二、</w:t>
      </w:r>
      <w:r>
        <w:rPr>
          <w:rFonts w:hint="eastAsia" w:ascii="仿宋_GB2312" w:eastAsia="仿宋_GB2312"/>
          <w:sz w:val="32"/>
          <w:szCs w:val="32"/>
          <w:highlight w:val="none"/>
        </w:rPr>
        <w:t>机构设置情况</w:t>
      </w:r>
    </w:p>
    <w:p>
      <w:pPr>
        <w:spacing w:line="540" w:lineRule="exact"/>
        <w:ind w:firstLine="640" w:firstLineChars="200"/>
        <w:rPr>
          <w:rFonts w:ascii="黑体" w:hAnsi="黑体" w:eastAsia="黑体"/>
          <w:kern w:val="0"/>
          <w:sz w:val="32"/>
          <w:szCs w:val="32"/>
          <w:highlight w:val="none"/>
        </w:rPr>
      </w:pPr>
      <w:r>
        <w:rPr>
          <w:rFonts w:hint="eastAsia" w:ascii="黑体" w:hAnsi="黑体" w:eastAsia="黑体"/>
          <w:kern w:val="0"/>
          <w:sz w:val="32"/>
          <w:szCs w:val="32"/>
          <w:highlight w:val="none"/>
        </w:rPr>
        <w:t>第二部分 部门决算情况说明</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一、部门收支总体情况</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（一）部门收入支出决算总体情况说明</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（二）部门收入总体情况说明</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（三）部门支出总体情况说明</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二、部门财政拨款收支情况</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（一）财政拨款收支总体情况说明</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（二）一般公共预算收支决算情况说明</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（三）政府性基金预算收支决算情况说明</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三、部门结转结余情况</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四、一般公共预算“三公”经费支出情况</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五、机关运行经费支出情况</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六、政府采购情况</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七、其他重要事项的情况</w:t>
      </w:r>
    </w:p>
    <w:p>
      <w:pPr>
        <w:spacing w:line="540" w:lineRule="exact"/>
        <w:ind w:firstLine="640" w:firstLineChars="200"/>
        <w:rPr>
          <w:rFonts w:ascii="仿宋_GB2312" w:eastAsia="仿宋_GB2312"/>
          <w:sz w:val="32"/>
          <w:szCs w:val="32"/>
          <w:highlight w:val="none"/>
        </w:rPr>
      </w:pPr>
      <w:bookmarkStart w:id="0" w:name="OLE_LINK94"/>
      <w:bookmarkStart w:id="1" w:name="OLE_LINK95"/>
      <w:r>
        <w:rPr>
          <w:rFonts w:hint="eastAsia" w:ascii="仿宋_GB2312" w:eastAsia="仿宋_GB2312"/>
          <w:sz w:val="32"/>
          <w:szCs w:val="32"/>
          <w:highlight w:val="none"/>
        </w:rPr>
        <w:t>（一）国有资产占用情况说明</w:t>
      </w:r>
      <w:bookmarkEnd w:id="0"/>
      <w:bookmarkEnd w:id="1"/>
    </w:p>
    <w:p>
      <w:pPr>
        <w:spacing w:line="540" w:lineRule="exact"/>
        <w:ind w:firstLine="640" w:firstLineChars="200"/>
        <w:rPr>
          <w:rFonts w:ascii="仿宋_GB2312" w:eastAsia="仿宋_GB2312"/>
          <w:sz w:val="32"/>
          <w:szCs w:val="32"/>
          <w:highlight w:val="none"/>
        </w:rPr>
      </w:pPr>
      <w:bookmarkStart w:id="2" w:name="OLE_LINK96"/>
      <w:r>
        <w:rPr>
          <w:rFonts w:hint="eastAsia" w:ascii="仿宋_GB2312" w:eastAsia="仿宋_GB2312"/>
          <w:sz w:val="32"/>
          <w:szCs w:val="32"/>
          <w:highlight w:val="none"/>
        </w:rPr>
        <w:t>（二）预算绩效情况的说明</w:t>
      </w:r>
      <w:bookmarkEnd w:id="2"/>
    </w:p>
    <w:p>
      <w:pPr>
        <w:spacing w:line="540" w:lineRule="exact"/>
        <w:ind w:firstLine="640" w:firstLineChars="200"/>
        <w:rPr>
          <w:rFonts w:ascii="黑体" w:hAnsi="黑体" w:eastAsia="黑体"/>
          <w:kern w:val="0"/>
          <w:sz w:val="32"/>
          <w:szCs w:val="32"/>
          <w:highlight w:val="none"/>
        </w:rPr>
      </w:pPr>
      <w:r>
        <w:rPr>
          <w:rFonts w:hint="eastAsia" w:ascii="黑体" w:hAnsi="黑体" w:eastAsia="黑体"/>
          <w:kern w:val="0"/>
          <w:sz w:val="32"/>
          <w:szCs w:val="32"/>
          <w:highlight w:val="none"/>
        </w:rPr>
        <w:t>第三部分 专业名词解释</w:t>
      </w:r>
    </w:p>
    <w:p>
      <w:pPr>
        <w:spacing w:line="540" w:lineRule="exact"/>
        <w:ind w:firstLine="640" w:firstLineChars="200"/>
        <w:rPr>
          <w:rFonts w:ascii="黑体" w:hAnsi="黑体" w:eastAsia="黑体"/>
          <w:kern w:val="0"/>
          <w:sz w:val="32"/>
          <w:szCs w:val="32"/>
          <w:highlight w:val="none"/>
        </w:rPr>
      </w:pPr>
      <w:r>
        <w:rPr>
          <w:rFonts w:hint="eastAsia" w:ascii="黑体" w:hAnsi="黑体" w:eastAsia="黑体"/>
          <w:kern w:val="0"/>
          <w:sz w:val="32"/>
          <w:szCs w:val="32"/>
          <w:highlight w:val="none"/>
        </w:rPr>
        <w:t>第四部分 部</w:t>
      </w:r>
      <w:r>
        <w:rPr>
          <w:rFonts w:hint="eastAsia" w:ascii="黑体" w:hAnsi="黑体" w:eastAsia="黑体"/>
          <w:sz w:val="32"/>
          <w:szCs w:val="32"/>
          <w:highlight w:val="none"/>
        </w:rPr>
        <w:t>门决算公开的8张报表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《收入支出决算总表》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《收入决算表》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《支出决算表》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《财政拨款收入支出决算总表》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《一般公共预算财政拨款支出决算表》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《一般公共预算财政拨款基本支出决算表》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《一般公共预算财政拨款“三公”经费支出决算表》</w:t>
      </w:r>
    </w:p>
    <w:p>
      <w:pPr>
        <w:spacing w:line="540" w:lineRule="exact"/>
        <w:ind w:firstLine="640" w:firstLineChars="200"/>
        <w:rPr>
          <w:rFonts w:ascii="仿宋_GB2312" w:hAnsi="宋体" w:eastAsia="仿宋_GB2312"/>
          <w:sz w:val="32"/>
          <w:szCs w:val="32"/>
          <w:highlight w:val="none"/>
        </w:rPr>
      </w:pPr>
      <w:r>
        <w:rPr>
          <w:rFonts w:hint="eastAsia" w:ascii="仿宋_GB2312" w:eastAsia="仿宋_GB2312"/>
          <w:sz w:val="32"/>
          <w:szCs w:val="32"/>
          <w:highlight w:val="none"/>
        </w:rPr>
        <w:t>《政府性基金预算财政拨款收入支出决算表》</w:t>
      </w:r>
    </w:p>
    <w:p>
      <w:pPr>
        <w:spacing w:line="540" w:lineRule="exact"/>
        <w:ind w:firstLine="640" w:firstLineChars="200"/>
        <w:rPr>
          <w:rFonts w:ascii="黑体" w:hAnsi="黑体" w:eastAsia="黑体"/>
          <w:sz w:val="32"/>
          <w:szCs w:val="32"/>
          <w:highlight w:val="none"/>
        </w:rPr>
      </w:pPr>
    </w:p>
    <w:p>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第一部分 部门单位概况</w:t>
      </w:r>
    </w:p>
    <w:p>
      <w:pPr>
        <w:spacing w:line="540" w:lineRule="exact"/>
        <w:ind w:firstLine="640" w:firstLineChars="200"/>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一、主要职能</w:t>
      </w:r>
    </w:p>
    <w:p>
      <w:pPr>
        <w:spacing w:line="500" w:lineRule="exact"/>
        <w:rPr>
          <w:rFonts w:ascii="黑体" w:hAnsi="黑体" w:eastAsia="黑体" w:cs="宋体"/>
          <w:bCs/>
          <w:kern w:val="0"/>
          <w:sz w:val="32"/>
          <w:szCs w:val="32"/>
          <w:highlight w:val="none"/>
        </w:rPr>
      </w:pPr>
      <w:r>
        <w:rPr>
          <w:rFonts w:hint="eastAsia" w:ascii="仿宋_GB2312" w:eastAsia="仿宋_GB2312"/>
          <w:sz w:val="32"/>
          <w:szCs w:val="32"/>
          <w:highlight w:val="none"/>
        </w:rPr>
        <w:t xml:space="preserve">    1、依照《宪法》和法律规定，履行法律监督职能，保证国家法律统一和正确实施。</w:t>
      </w:r>
      <w:r>
        <w:rPr>
          <w:rFonts w:hint="eastAsia" w:ascii="仿宋_GB2312" w:eastAsia="仿宋_GB2312"/>
          <w:sz w:val="32"/>
          <w:szCs w:val="32"/>
          <w:highlight w:val="none"/>
        </w:rPr>
        <w:br w:type="textWrapping"/>
      </w:r>
      <w:r>
        <w:rPr>
          <w:rFonts w:hint="eastAsia" w:ascii="仿宋_GB2312" w:eastAsia="仿宋_GB2312"/>
          <w:sz w:val="32"/>
          <w:szCs w:val="32"/>
          <w:highlight w:val="none"/>
        </w:rPr>
        <w:t xml:space="preserve">    2、以执法办案为第一要务，以提升检察业务为中心，以强化诉讼监督为抓手，以加强队伍建设为保障，紧紧围绕“让人民群众在每一个司法案件中都能感受到公平正义”目标。</w:t>
      </w:r>
      <w:r>
        <w:rPr>
          <w:rFonts w:hint="eastAsia" w:ascii="仿宋_GB2312" w:eastAsia="仿宋_GB2312"/>
          <w:sz w:val="32"/>
          <w:szCs w:val="32"/>
          <w:highlight w:val="none"/>
        </w:rPr>
        <w:br w:type="textWrapping"/>
      </w:r>
      <w:r>
        <w:rPr>
          <w:rFonts w:hint="eastAsia" w:ascii="仿宋_GB2312" w:eastAsia="仿宋_GB2312"/>
          <w:sz w:val="32"/>
          <w:szCs w:val="32"/>
          <w:highlight w:val="none"/>
        </w:rPr>
        <w:t xml:space="preserve">    3、努力保护合法权益，不断提高司法公信,为英吉沙社会</w:t>
      </w:r>
      <w:r>
        <w:rPr>
          <w:rFonts w:hint="eastAsia" w:ascii="仿宋_GB2312" w:eastAsia="仿宋_GB2312"/>
          <w:sz w:val="32"/>
          <w:szCs w:val="32"/>
          <w:highlight w:val="none"/>
          <w:lang w:eastAsia="zh-CN"/>
        </w:rPr>
        <w:t>和谐</w:t>
      </w:r>
      <w:r>
        <w:rPr>
          <w:rFonts w:hint="eastAsia" w:ascii="仿宋_GB2312" w:eastAsia="仿宋_GB2312"/>
          <w:sz w:val="32"/>
          <w:szCs w:val="32"/>
          <w:highlight w:val="none"/>
        </w:rPr>
        <w:t xml:space="preserve">和长治久安提供强有力的司法保障和法律服务。 </w:t>
      </w:r>
    </w:p>
    <w:p>
      <w:pPr>
        <w:spacing w:line="540" w:lineRule="exact"/>
        <w:ind w:firstLine="640" w:firstLineChars="200"/>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二、机构设置情况</w:t>
      </w:r>
    </w:p>
    <w:p>
      <w:pPr>
        <w:spacing w:line="540" w:lineRule="exact"/>
        <w:ind w:firstLine="640" w:firstLineChars="200"/>
        <w:rPr>
          <w:rFonts w:ascii="仿宋_GB2312" w:hAnsi="宋体" w:eastAsia="仿宋_GB2312" w:cs="宋体"/>
          <w:kern w:val="0"/>
          <w:sz w:val="32"/>
          <w:szCs w:val="32"/>
          <w:highlight w:val="none"/>
        </w:rPr>
      </w:pPr>
      <w:bookmarkStart w:id="3" w:name="OLE_LINK51"/>
      <w:r>
        <w:rPr>
          <w:rFonts w:hint="eastAsia" w:ascii="仿宋_GB2312" w:eastAsia="仿宋_GB2312"/>
          <w:sz w:val="32"/>
          <w:szCs w:val="32"/>
          <w:highlight w:val="none"/>
        </w:rPr>
        <w:t>从决算单位构成看，</w:t>
      </w:r>
      <w:r>
        <w:rPr>
          <w:rFonts w:ascii="仿宋_GB2312" w:eastAsia="仿宋_GB2312"/>
          <w:sz w:val="32"/>
          <w:szCs w:val="32"/>
          <w:highlight w:val="none"/>
        </w:rPr>
        <w:t>新疆喀什地区英吉沙县人民检察院</w:t>
      </w:r>
      <w:r>
        <w:rPr>
          <w:rFonts w:hint="eastAsia" w:ascii="仿宋_GB2312" w:eastAsia="仿宋_GB2312"/>
          <w:sz w:val="32"/>
          <w:szCs w:val="32"/>
          <w:highlight w:val="none"/>
        </w:rPr>
        <w:t>部门决算包括：</w:t>
      </w:r>
      <w:r>
        <w:rPr>
          <w:rFonts w:ascii="仿宋_GB2312" w:eastAsia="仿宋_GB2312"/>
          <w:sz w:val="32"/>
          <w:szCs w:val="32"/>
          <w:highlight w:val="none"/>
        </w:rPr>
        <w:t>新疆喀什地区英吉沙县人民检察院</w:t>
      </w:r>
      <w:r>
        <w:rPr>
          <w:rFonts w:hint="eastAsia" w:ascii="仿宋_GB2312" w:eastAsia="仿宋_GB2312"/>
          <w:sz w:val="32"/>
          <w:szCs w:val="32"/>
          <w:highlight w:val="none"/>
        </w:rPr>
        <w:t>部门本级决算、所属单位决算等。</w:t>
      </w:r>
    </w:p>
    <w:p>
      <w:pPr>
        <w:spacing w:line="540" w:lineRule="exact"/>
        <w:ind w:firstLine="640" w:firstLineChars="200"/>
        <w:rPr>
          <w:rFonts w:ascii="仿宋_GB2312" w:eastAsia="仿宋_GB2312"/>
          <w:spacing w:val="-6"/>
          <w:sz w:val="32"/>
          <w:szCs w:val="32"/>
          <w:highlight w:val="none"/>
        </w:rPr>
      </w:pPr>
      <w:r>
        <w:rPr>
          <w:rFonts w:hint="eastAsia" w:ascii="仿宋_GB2312" w:eastAsia="仿宋_GB2312"/>
          <w:sz w:val="32"/>
          <w:szCs w:val="32"/>
          <w:highlight w:val="none"/>
        </w:rPr>
        <w:t>纳入</w:t>
      </w:r>
      <w:r>
        <w:rPr>
          <w:rFonts w:ascii="仿宋_GB2312" w:eastAsia="仿宋_GB2312"/>
          <w:sz w:val="32"/>
          <w:szCs w:val="32"/>
          <w:highlight w:val="none"/>
        </w:rPr>
        <w:t>新疆喀什地区英吉沙县人民检察院</w:t>
      </w:r>
      <w:r>
        <w:rPr>
          <w:rFonts w:hint="eastAsia" w:ascii="仿宋_GB2312" w:eastAsia="仿宋_GB2312"/>
          <w:sz w:val="32"/>
          <w:szCs w:val="32"/>
          <w:highlight w:val="none"/>
        </w:rPr>
        <w:t>2018年部门决算编制范围的单位名单见下表</w:t>
      </w:r>
      <w:r>
        <w:rPr>
          <w:rFonts w:hint="eastAsia" w:ascii="仿宋_GB2312" w:eastAsia="仿宋_GB2312"/>
          <w:spacing w:val="-6"/>
          <w:sz w:val="32"/>
          <w:szCs w:val="32"/>
          <w:highlight w:val="none"/>
        </w:rPr>
        <w:t>：</w:t>
      </w:r>
      <w:bookmarkEnd w:id="3"/>
    </w:p>
    <w:p>
      <w:pPr>
        <w:spacing w:line="540" w:lineRule="exact"/>
        <w:ind w:firstLine="616" w:firstLineChars="200"/>
        <w:rPr>
          <w:rFonts w:ascii="仿宋_GB2312" w:eastAsia="仿宋_GB2312"/>
          <w:spacing w:val="-6"/>
          <w:sz w:val="32"/>
          <w:szCs w:val="32"/>
          <w:highlight w:val="none"/>
        </w:rPr>
      </w:pPr>
    </w:p>
    <w:p>
      <w:pPr>
        <w:spacing w:line="540" w:lineRule="exact"/>
        <w:ind w:firstLine="616" w:firstLineChars="200"/>
        <w:rPr>
          <w:rFonts w:ascii="仿宋_GB2312" w:eastAsia="仿宋_GB2312"/>
          <w:spacing w:val="-6"/>
          <w:sz w:val="32"/>
          <w:szCs w:val="32"/>
          <w:highlight w:val="none"/>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highlight w:val="none"/>
              </w:rPr>
            </w:pPr>
            <w:r>
              <w:rPr>
                <w:rFonts w:hint="eastAsia" w:ascii="仿宋_GB2312" w:eastAsia="仿宋_GB2312"/>
                <w:color w:val="000000" w:themeColor="text1"/>
                <w:sz w:val="32"/>
                <w:szCs w:val="32"/>
                <w:highlight w:val="none"/>
              </w:rPr>
              <w:t>序号</w:t>
            </w:r>
          </w:p>
        </w:tc>
        <w:tc>
          <w:tcPr>
            <w:tcW w:w="3870" w:type="dxa"/>
            <w:vAlign w:val="center"/>
          </w:tcPr>
          <w:p>
            <w:pPr>
              <w:spacing w:line="500" w:lineRule="exact"/>
              <w:ind w:firstLine="640" w:firstLineChars="200"/>
              <w:rPr>
                <w:rFonts w:ascii="仿宋_GB2312" w:eastAsia="仿宋_GB2312"/>
                <w:color w:val="000000" w:themeColor="text1"/>
                <w:sz w:val="32"/>
                <w:szCs w:val="32"/>
                <w:highlight w:val="none"/>
              </w:rPr>
            </w:pPr>
            <w:r>
              <w:rPr>
                <w:rFonts w:hint="eastAsia" w:ascii="仿宋_GB2312" w:eastAsia="仿宋_GB2312"/>
                <w:color w:val="000000" w:themeColor="text1"/>
                <w:sz w:val="32"/>
                <w:szCs w:val="32"/>
                <w:highlight w:val="none"/>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none"/>
              </w:rPr>
            </w:pPr>
            <w:r>
              <w:rPr>
                <w:rFonts w:hint="eastAsia" w:ascii="仿宋_GB2312" w:eastAsia="仿宋_GB2312"/>
                <w:color w:val="000000" w:themeColor="text1"/>
                <w:sz w:val="32"/>
                <w:szCs w:val="3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rPr>
                <w:highlight w:val="none"/>
              </w:rPr>
            </w:pPr>
            <w:r>
              <w:rPr>
                <w:rFonts w:ascii="Times New Roman" w:hAnsi="Times New Roman" w:eastAsia="Times New Roman" w:cs="Times New Roman"/>
                <w:b w:val="0"/>
                <w:i w:val="0"/>
                <w:strike w:val="0"/>
                <w:color w:val="000000"/>
                <w:position w:val="-1"/>
                <w:sz w:val="32"/>
                <w:highlight w:val="none"/>
                <w:u w:val="none"/>
              </w:rPr>
              <w:t>1</w:t>
            </w:r>
          </w:p>
        </w:tc>
        <w:tc>
          <w:tcPr>
            <w:tcW w:w="3870" w:type="dxa"/>
          </w:tcPr>
          <w:p>
            <w:pPr>
              <w:pageBreakBefore w:val="0"/>
              <w:spacing w:line="500" w:lineRule="exact"/>
              <w:ind w:firstLine="640" w:firstLineChars="200"/>
              <w:jc w:val="left"/>
              <w:textAlignment w:val="auto"/>
              <w:rPr>
                <w:highlight w:val="none"/>
              </w:rPr>
            </w:pPr>
            <w:r>
              <w:rPr>
                <w:rFonts w:ascii="Times New Roman" w:hAnsi="Times New Roman" w:eastAsia="Times New Roman" w:cs="Times New Roman"/>
                <w:b w:val="0"/>
                <w:i w:val="0"/>
                <w:strike w:val="0"/>
                <w:color w:val="000000"/>
                <w:position w:val="-1"/>
                <w:sz w:val="32"/>
                <w:highlight w:val="none"/>
                <w:u w:val="none"/>
              </w:rPr>
              <w:t>新疆喀什地区英吉沙县人民检察院</w:t>
            </w:r>
          </w:p>
        </w:tc>
        <w:tc>
          <w:tcPr>
            <w:tcW w:w="2538" w:type="dxa"/>
            <w:vAlign w:val="center"/>
          </w:tcPr>
          <w:p>
            <w:pPr>
              <w:pageBreakBefore w:val="0"/>
              <w:spacing w:line="500" w:lineRule="exact"/>
              <w:ind w:firstLine="420" w:firstLineChars="200"/>
              <w:jc w:val="left"/>
              <w:textAlignment w:val="auto"/>
              <w:rPr>
                <w:highlight w:val="none"/>
              </w:rPr>
            </w:pPr>
          </w:p>
        </w:tc>
      </w:tr>
    </w:tbl>
    <w:p>
      <w:pPr>
        <w:spacing w:line="500" w:lineRule="exact"/>
        <w:rPr>
          <w:rFonts w:ascii="仿宋_GB2312" w:hAnsi="宋体" w:eastAsia="仿宋_GB2312" w:cs="宋体"/>
          <w:kern w:val="0"/>
          <w:sz w:val="32"/>
          <w:szCs w:val="32"/>
          <w:highlight w:val="none"/>
        </w:rPr>
      </w:pPr>
    </w:p>
    <w:p>
      <w:pPr>
        <w:spacing w:line="500" w:lineRule="exact"/>
        <w:rPr>
          <w:rFonts w:ascii="仿宋_GB2312" w:hAnsi="宋体" w:eastAsia="仿宋_GB2312" w:cs="宋体"/>
          <w:kern w:val="0"/>
          <w:sz w:val="32"/>
          <w:szCs w:val="32"/>
          <w:highlight w:val="none"/>
        </w:rPr>
      </w:pPr>
    </w:p>
    <w:p>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第二部分 部门决算情况说明</w:t>
      </w:r>
    </w:p>
    <w:p>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一、部门收支总体情况</w:t>
      </w:r>
    </w:p>
    <w:p>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（一）部门收入支出决算总体情况说明</w:t>
      </w:r>
    </w:p>
    <w:p>
      <w:pPr>
        <w:spacing w:line="540" w:lineRule="exact"/>
        <w:ind w:firstLine="640" w:firstLineChars="200"/>
        <w:rPr>
          <w:rFonts w:ascii="仿宋_GB2312" w:hAnsi="Calibri" w:eastAsia="仿宋_GB2312"/>
          <w:color w:val="000000" w:themeColor="text1"/>
          <w:sz w:val="32"/>
          <w:szCs w:val="32"/>
          <w:highlight w:val="none"/>
          <w:lang w:val="en-GB"/>
        </w:rPr>
      </w:pPr>
      <w:bookmarkStart w:id="4" w:name="OLE_LINK99"/>
      <w:bookmarkStart w:id="5" w:name="OLE_LINK100"/>
      <w:bookmarkStart w:id="6" w:name="OLE_LINK52"/>
      <w:r>
        <w:rPr>
          <w:rFonts w:hint="eastAsia" w:ascii="仿宋_GB2312" w:eastAsia="仿宋_GB2312"/>
          <w:color w:val="000000" w:themeColor="text1"/>
          <w:sz w:val="32"/>
          <w:szCs w:val="32"/>
          <w:highlight w:val="none"/>
        </w:rPr>
        <w:t>2018年度收入</w:t>
      </w:r>
      <w:r>
        <w:rPr>
          <w:rFonts w:hint="eastAsia" w:ascii="仿宋_GB2312" w:eastAsia="仿宋_GB2312"/>
          <w:sz w:val="32"/>
          <w:szCs w:val="32"/>
          <w:highlight w:val="none"/>
        </w:rPr>
        <w:t>1,053.66</w:t>
      </w:r>
      <w:r>
        <w:rPr>
          <w:rFonts w:hint="eastAsia" w:ascii="仿宋_GB2312" w:eastAsia="仿宋_GB2312"/>
          <w:color w:val="000000" w:themeColor="text1"/>
          <w:sz w:val="32"/>
          <w:szCs w:val="32"/>
          <w:highlight w:val="none"/>
        </w:rPr>
        <w:t>万元</w:t>
      </w:r>
      <w:bookmarkEnd w:id="4"/>
      <w:bookmarkEnd w:id="5"/>
      <w:r>
        <w:rPr>
          <w:rFonts w:hint="eastAsia" w:ascii="仿宋_GB2312" w:eastAsia="仿宋_GB2312"/>
          <w:sz w:val="32"/>
          <w:szCs w:val="32"/>
          <w:highlight w:val="none"/>
        </w:rPr>
        <w:t>，与上年相比，增加209.28万元，增长24.79%，增加的主要原因是：</w:t>
      </w:r>
      <w:r>
        <w:rPr>
          <w:rFonts w:hint="eastAsia" w:ascii="仿宋_GB2312" w:eastAsia="仿宋_GB2312"/>
          <w:color w:val="000000" w:themeColor="text1"/>
          <w:sz w:val="32"/>
          <w:szCs w:val="32"/>
          <w:highlight w:val="none"/>
        </w:rPr>
        <w:t>一是司法体制改革增发绩效工资；二是拨入中央政法转移支付项目资金132.92万元；三是2018年艰苦边远地区津贴、基本工资调标，并补发；</w:t>
      </w:r>
      <w:bookmarkEnd w:id="6"/>
      <w:bookmarkStart w:id="7" w:name="OLE_LINK53"/>
      <w:r>
        <w:rPr>
          <w:rFonts w:hint="eastAsia" w:ascii="仿宋_GB2312" w:eastAsia="仿宋_GB2312"/>
          <w:color w:val="000000" w:themeColor="text1"/>
          <w:sz w:val="32"/>
          <w:szCs w:val="32"/>
          <w:highlight w:val="none"/>
        </w:rPr>
        <w:t>支出</w:t>
      </w:r>
      <w:r>
        <w:rPr>
          <w:rFonts w:hint="eastAsia" w:ascii="仿宋_GB2312" w:eastAsia="仿宋_GB2312"/>
          <w:sz w:val="32"/>
          <w:szCs w:val="32"/>
          <w:highlight w:val="none"/>
        </w:rPr>
        <w:t>1,053.66</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，与上年相比，增加209.28万元，增长24.79%，增加的主要原因是：</w:t>
      </w:r>
      <w:r>
        <w:rPr>
          <w:rFonts w:hint="eastAsia" w:ascii="仿宋_GB2312" w:eastAsia="仿宋_GB2312"/>
          <w:color w:val="000000" w:themeColor="text1"/>
          <w:sz w:val="32"/>
          <w:szCs w:val="32"/>
          <w:highlight w:val="none"/>
        </w:rPr>
        <w:t>财政拨付38万元、其他收入200万元用于支付业务用房工程欠款；</w:t>
      </w:r>
      <w:bookmarkEnd w:id="7"/>
      <w:bookmarkStart w:id="8" w:name="OLE_LINK54"/>
      <w:r>
        <w:rPr>
          <w:rFonts w:hint="eastAsia" w:ascii="仿宋_GB2312" w:eastAsia="仿宋_GB2312"/>
          <w:color w:val="000000" w:themeColor="text1"/>
          <w:sz w:val="32"/>
          <w:szCs w:val="32"/>
          <w:highlight w:val="none"/>
        </w:rPr>
        <w:t>结余</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，与上年相比</w:t>
      </w:r>
      <w:r>
        <w:rPr>
          <w:rFonts w:hint="eastAsia" w:ascii="仿宋_GB2312" w:eastAsia="仿宋_GB2312"/>
          <w:color w:val="000000" w:themeColor="text1"/>
          <w:sz w:val="32"/>
          <w:szCs w:val="32"/>
          <w:highlight w:val="none"/>
          <w:lang w:eastAsia="zh-CN"/>
        </w:rPr>
        <w:t>增加</w:t>
      </w:r>
      <w:r>
        <w:rPr>
          <w:rFonts w:hint="eastAsia" w:ascii="仿宋_GB2312" w:eastAsia="仿宋_GB2312"/>
          <w:color w:val="000000" w:themeColor="text1"/>
          <w:sz w:val="32"/>
          <w:szCs w:val="32"/>
          <w:highlight w:val="none"/>
          <w:lang w:val="en-US" w:eastAsia="zh-CN"/>
        </w:rPr>
        <w:t>0</w:t>
      </w:r>
      <w:r>
        <w:rPr>
          <w:rFonts w:hint="eastAsia" w:ascii="仿宋_GB2312" w:eastAsia="仿宋_GB2312"/>
          <w:color w:val="000000" w:themeColor="text1"/>
          <w:sz w:val="32"/>
          <w:szCs w:val="32"/>
          <w:highlight w:val="none"/>
          <w:lang w:eastAsia="zh-CN"/>
        </w:rPr>
        <w:t>万元，增长</w:t>
      </w:r>
      <w:r>
        <w:rPr>
          <w:rFonts w:hint="eastAsia" w:ascii="仿宋_GB2312" w:eastAsia="仿宋_GB2312"/>
          <w:color w:val="000000" w:themeColor="text1"/>
          <w:sz w:val="32"/>
          <w:szCs w:val="32"/>
          <w:highlight w:val="none"/>
          <w:lang w:val="en-US" w:eastAsia="zh-CN"/>
        </w:rPr>
        <w:t>0</w:t>
      </w:r>
      <w:r>
        <w:rPr>
          <w:rFonts w:hint="eastAsia" w:ascii="仿宋_GB2312" w:eastAsia="仿宋_GB2312"/>
          <w:color w:val="000000" w:themeColor="text1"/>
          <w:sz w:val="32"/>
          <w:szCs w:val="32"/>
          <w:highlight w:val="none"/>
          <w:lang w:eastAsia="zh-CN"/>
        </w:rPr>
        <w:t>%</w:t>
      </w:r>
      <w:r>
        <w:rPr>
          <w:rFonts w:hint="eastAsia" w:ascii="仿宋_GB2312" w:eastAsia="仿宋_GB2312"/>
          <w:sz w:val="32"/>
          <w:szCs w:val="32"/>
          <w:highlight w:val="none"/>
        </w:rPr>
        <w:t>，主要原因是：</w:t>
      </w:r>
      <w:r>
        <w:rPr>
          <w:rFonts w:hint="eastAsia" w:ascii="仿宋_GB2312" w:eastAsia="仿宋_GB2312"/>
          <w:color w:val="000000" w:themeColor="text1"/>
          <w:sz w:val="32"/>
          <w:szCs w:val="32"/>
          <w:highlight w:val="none"/>
          <w:lang w:eastAsia="zh-CN"/>
        </w:rPr>
        <w:t>项目实行到位，</w:t>
      </w:r>
      <w:r>
        <w:rPr>
          <w:rFonts w:hint="eastAsia" w:ascii="仿宋_GB2312" w:eastAsia="仿宋_GB2312"/>
          <w:color w:val="000000" w:themeColor="text1"/>
          <w:sz w:val="32"/>
          <w:szCs w:val="32"/>
          <w:highlight w:val="none"/>
          <w:lang w:eastAsia="zh-CN"/>
        </w:rPr>
        <w:t>年末无结余结转资金</w:t>
      </w:r>
      <w:bookmarkEnd w:id="8"/>
      <w:r>
        <w:rPr>
          <w:rFonts w:hint="eastAsia" w:ascii="仿宋_GB2312" w:eastAsia="仿宋_GB2312"/>
          <w:color w:val="000000" w:themeColor="text1"/>
          <w:sz w:val="32"/>
          <w:szCs w:val="32"/>
          <w:highlight w:val="none"/>
          <w:lang w:eastAsia="zh-CN"/>
        </w:rPr>
        <w:t>。</w:t>
      </w:r>
    </w:p>
    <w:p>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（二）部门收入总体情况说明</w:t>
      </w:r>
    </w:p>
    <w:p>
      <w:pPr>
        <w:spacing w:line="540" w:lineRule="exact"/>
        <w:ind w:firstLine="640" w:firstLineChars="200"/>
        <w:rPr>
          <w:rFonts w:ascii="仿宋_GB2312" w:eastAsia="仿宋_GB2312"/>
          <w:color w:val="000000" w:themeColor="text1"/>
          <w:sz w:val="32"/>
          <w:szCs w:val="32"/>
          <w:highlight w:val="none"/>
        </w:rPr>
      </w:pPr>
      <w:r>
        <w:rPr>
          <w:rFonts w:hint="eastAsia" w:ascii="仿宋_GB2312" w:eastAsia="仿宋_GB2312"/>
          <w:color w:val="000000" w:themeColor="text1"/>
          <w:sz w:val="32"/>
          <w:szCs w:val="32"/>
          <w:highlight w:val="none"/>
        </w:rPr>
        <w:t>本年收入合计</w:t>
      </w:r>
      <w:r>
        <w:rPr>
          <w:rFonts w:hint="eastAsia" w:ascii="仿宋_GB2312" w:eastAsia="仿宋_GB2312"/>
          <w:sz w:val="32"/>
          <w:szCs w:val="32"/>
          <w:highlight w:val="none"/>
        </w:rPr>
        <w:t>1,053.66</w:t>
      </w:r>
      <w:r>
        <w:rPr>
          <w:rFonts w:hint="eastAsia" w:ascii="仿宋_GB2312" w:eastAsia="仿宋_GB2312"/>
          <w:color w:val="000000" w:themeColor="text1"/>
          <w:sz w:val="32"/>
          <w:szCs w:val="32"/>
          <w:highlight w:val="none"/>
        </w:rPr>
        <w:t>万元，其中：</w:t>
      </w:r>
      <w:bookmarkStart w:id="9" w:name="OLE_LINK1"/>
      <w:r>
        <w:rPr>
          <w:rFonts w:hint="eastAsia" w:ascii="仿宋_GB2312" w:eastAsia="仿宋_GB2312"/>
          <w:color w:val="000000" w:themeColor="text1"/>
          <w:sz w:val="32"/>
          <w:szCs w:val="32"/>
          <w:highlight w:val="none"/>
        </w:rPr>
        <w:t>财政拨款收入</w:t>
      </w:r>
      <w:bookmarkEnd w:id="9"/>
      <w:r>
        <w:rPr>
          <w:rFonts w:hint="eastAsia" w:ascii="仿宋_GB2312" w:eastAsia="仿宋_GB2312"/>
          <w:sz w:val="32"/>
          <w:szCs w:val="32"/>
          <w:highlight w:val="none"/>
        </w:rPr>
        <w:t>853.66</w:t>
      </w:r>
      <w:r>
        <w:rPr>
          <w:rFonts w:hint="eastAsia" w:ascii="仿宋_GB2312" w:eastAsia="仿宋_GB2312"/>
          <w:color w:val="000000" w:themeColor="text1"/>
          <w:sz w:val="32"/>
          <w:szCs w:val="32"/>
          <w:highlight w:val="none"/>
        </w:rPr>
        <w:t>万元，占</w:t>
      </w:r>
      <w:r>
        <w:rPr>
          <w:rFonts w:hint="eastAsia" w:ascii="仿宋_GB2312" w:eastAsia="仿宋_GB2312"/>
          <w:sz w:val="32"/>
          <w:szCs w:val="32"/>
          <w:highlight w:val="none"/>
        </w:rPr>
        <w:t>81.02%</w:t>
      </w:r>
      <w:r>
        <w:rPr>
          <w:rFonts w:hint="eastAsia" w:ascii="仿宋_GB2312" w:eastAsia="仿宋_GB2312"/>
          <w:color w:val="000000" w:themeColor="text1"/>
          <w:sz w:val="32"/>
          <w:szCs w:val="32"/>
          <w:highlight w:val="none"/>
        </w:rPr>
        <w:t>；</w:t>
      </w:r>
      <w:bookmarkStart w:id="10" w:name="OLE_LINK2"/>
      <w:r>
        <w:rPr>
          <w:rFonts w:hint="eastAsia" w:ascii="仿宋_GB2312" w:eastAsia="仿宋_GB2312"/>
          <w:color w:val="000000" w:themeColor="text1"/>
          <w:sz w:val="32"/>
          <w:szCs w:val="32"/>
          <w:highlight w:val="none"/>
        </w:rPr>
        <w:t>上级补助收入</w:t>
      </w:r>
      <w:bookmarkEnd w:id="10"/>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万元，占</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w:t>
      </w:r>
      <w:bookmarkStart w:id="11" w:name="OLE_LINK3"/>
      <w:r>
        <w:rPr>
          <w:rFonts w:hint="eastAsia" w:ascii="仿宋_GB2312" w:eastAsia="仿宋_GB2312"/>
          <w:color w:val="000000" w:themeColor="text1"/>
          <w:sz w:val="32"/>
          <w:szCs w:val="32"/>
          <w:highlight w:val="none"/>
        </w:rPr>
        <w:t>事业收入</w:t>
      </w:r>
      <w:bookmarkEnd w:id="11"/>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万元，占</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w:t>
      </w:r>
      <w:bookmarkStart w:id="12" w:name="OLE_LINK4"/>
      <w:r>
        <w:rPr>
          <w:rFonts w:hint="eastAsia" w:ascii="仿宋_GB2312" w:eastAsia="仿宋_GB2312"/>
          <w:color w:val="000000" w:themeColor="text1"/>
          <w:sz w:val="32"/>
          <w:szCs w:val="32"/>
          <w:highlight w:val="none"/>
        </w:rPr>
        <w:t>经营收入</w:t>
      </w:r>
      <w:bookmarkEnd w:id="12"/>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万元，占</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w:t>
      </w:r>
      <w:bookmarkStart w:id="13" w:name="OLE_LINK5"/>
      <w:r>
        <w:rPr>
          <w:rFonts w:hint="eastAsia" w:ascii="仿宋_GB2312" w:eastAsia="仿宋_GB2312"/>
          <w:color w:val="000000" w:themeColor="text1"/>
          <w:sz w:val="32"/>
          <w:szCs w:val="32"/>
          <w:highlight w:val="none"/>
        </w:rPr>
        <w:t>附属单位缴款</w:t>
      </w:r>
      <w:bookmarkEnd w:id="13"/>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万元，占</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w:t>
      </w:r>
      <w:bookmarkStart w:id="14" w:name="OLE_LINK6"/>
      <w:r>
        <w:rPr>
          <w:rFonts w:hint="eastAsia" w:ascii="仿宋_GB2312" w:eastAsia="仿宋_GB2312"/>
          <w:color w:val="000000" w:themeColor="text1"/>
          <w:sz w:val="32"/>
          <w:szCs w:val="32"/>
          <w:highlight w:val="none"/>
        </w:rPr>
        <w:t>其他收入</w:t>
      </w:r>
      <w:bookmarkEnd w:id="14"/>
      <w:r>
        <w:rPr>
          <w:rFonts w:hint="eastAsia" w:ascii="仿宋_GB2312" w:eastAsia="仿宋_GB2312"/>
          <w:sz w:val="32"/>
          <w:szCs w:val="32"/>
          <w:highlight w:val="none"/>
        </w:rPr>
        <w:t>200</w:t>
      </w:r>
      <w:r>
        <w:rPr>
          <w:rFonts w:hint="eastAsia" w:ascii="仿宋_GB2312" w:eastAsia="仿宋_GB2312"/>
          <w:color w:val="000000" w:themeColor="text1"/>
          <w:sz w:val="32"/>
          <w:szCs w:val="32"/>
          <w:highlight w:val="none"/>
        </w:rPr>
        <w:t>万元，占</w:t>
      </w:r>
      <w:r>
        <w:rPr>
          <w:rFonts w:hint="eastAsia" w:ascii="仿宋_GB2312" w:eastAsia="仿宋_GB2312"/>
          <w:sz w:val="32"/>
          <w:szCs w:val="32"/>
          <w:highlight w:val="none"/>
        </w:rPr>
        <w:t>18.98%</w:t>
      </w:r>
      <w:r>
        <w:rPr>
          <w:rFonts w:hint="eastAsia" w:ascii="仿宋_GB2312" w:eastAsia="仿宋_GB2312"/>
          <w:color w:val="000000" w:themeColor="text1"/>
          <w:sz w:val="32"/>
          <w:szCs w:val="32"/>
          <w:highlight w:val="none"/>
        </w:rPr>
        <w:t>。</w:t>
      </w:r>
    </w:p>
    <w:p>
      <w:pPr>
        <w:spacing w:line="540" w:lineRule="exact"/>
        <w:ind w:firstLine="640" w:firstLineChars="200"/>
        <w:rPr>
          <w:rFonts w:ascii="仿宋_GB2312" w:eastAsia="仿宋_GB2312"/>
          <w:sz w:val="32"/>
          <w:szCs w:val="32"/>
          <w:highlight w:val="none"/>
        </w:rPr>
      </w:pPr>
      <w:bookmarkStart w:id="15" w:name="OLE_LINK55"/>
      <w:r>
        <w:rPr>
          <w:rFonts w:hint="eastAsia" w:ascii="仿宋_GB2312" w:eastAsia="仿宋_GB2312"/>
          <w:sz w:val="32"/>
          <w:szCs w:val="32"/>
          <w:highlight w:val="none"/>
        </w:rPr>
        <w:t>与年初预算数相比情</w:t>
      </w:r>
      <w:r>
        <w:rPr>
          <w:rFonts w:hint="eastAsia" w:ascii="仿宋_GB2312" w:eastAsia="仿宋_GB2312"/>
          <w:color w:val="000000" w:themeColor="text1"/>
          <w:sz w:val="32"/>
          <w:szCs w:val="32"/>
          <w:highlight w:val="none"/>
        </w:rPr>
        <w:t>况：本年收入年初预算数622.82万元</w:t>
      </w:r>
      <w:r>
        <w:rPr>
          <w:rFonts w:hint="eastAsia" w:ascii="仿宋_GB2312" w:eastAsia="仿宋_GB2312"/>
          <w:sz w:val="32"/>
          <w:szCs w:val="32"/>
          <w:highlight w:val="none"/>
        </w:rPr>
        <w:t>，决算数1,053.66万元</w:t>
      </w:r>
      <w:r>
        <w:rPr>
          <w:rFonts w:ascii="仿宋_GB2312" w:eastAsia="仿宋_GB2312"/>
          <w:sz w:val="32"/>
          <w:szCs w:val="32"/>
          <w:highlight w:val="none"/>
        </w:rPr>
        <w:t>，预决算差异率69.18%，差异主要原因是一是司法体制改革增发绩效工资，预算时未预算；二是拨入中央政法转移支付项目资金132.92万元，预算时未预算；三是2018年艰苦边远地区津贴、基本工资调标，并补发，预算时未预算</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年末无</w:t>
      </w:r>
      <w:r>
        <w:rPr>
          <w:rFonts w:hint="eastAsia" w:ascii="仿宋_GB2312" w:eastAsia="仿宋_GB2312"/>
          <w:sz w:val="32"/>
          <w:szCs w:val="32"/>
          <w:highlight w:val="none"/>
          <w:lang w:eastAsia="zh-CN"/>
        </w:rPr>
        <w:t>结转结余</w:t>
      </w:r>
      <w:r>
        <w:rPr>
          <w:rFonts w:hint="eastAsia" w:ascii="仿宋_GB2312" w:eastAsia="仿宋_GB2312"/>
          <w:sz w:val="32"/>
          <w:szCs w:val="32"/>
          <w:highlight w:val="none"/>
          <w:lang w:val="en-US" w:eastAsia="zh-CN"/>
        </w:rPr>
        <w:t>资金</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lang w:eastAsia="zh-CN"/>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lang w:eastAsia="zh-CN"/>
        </w:rPr>
        <w:t>%</w:t>
      </w:r>
      <w:r>
        <w:rPr>
          <w:rFonts w:ascii="仿宋_GB2312" w:eastAsia="仿宋_GB2312"/>
          <w:sz w:val="32"/>
          <w:szCs w:val="32"/>
          <w:highlight w:val="none"/>
        </w:rPr>
        <w:t>。</w:t>
      </w:r>
      <w:bookmarkEnd w:id="15"/>
    </w:p>
    <w:p>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（三）部门支出总体情况说明</w:t>
      </w:r>
    </w:p>
    <w:p>
      <w:pPr>
        <w:spacing w:line="540" w:lineRule="exact"/>
        <w:ind w:firstLine="640" w:firstLineChars="200"/>
        <w:rPr>
          <w:rFonts w:ascii="仿宋_GB2312" w:eastAsia="仿宋_GB2312"/>
          <w:color w:val="000000" w:themeColor="text1"/>
          <w:spacing w:val="-6"/>
          <w:sz w:val="32"/>
          <w:szCs w:val="32"/>
          <w:highlight w:val="none"/>
        </w:rPr>
      </w:pPr>
      <w:bookmarkStart w:id="16" w:name="OLE_LINK7"/>
      <w:r>
        <w:rPr>
          <w:rFonts w:hint="eastAsia" w:ascii="仿宋_GB2312" w:eastAsia="仿宋_GB2312"/>
          <w:color w:val="000000" w:themeColor="text1"/>
          <w:sz w:val="32"/>
          <w:szCs w:val="32"/>
          <w:highlight w:val="none"/>
        </w:rPr>
        <w:t>本年支出合计</w:t>
      </w:r>
      <w:bookmarkEnd w:id="16"/>
      <w:r>
        <w:rPr>
          <w:rFonts w:hint="eastAsia" w:ascii="仿宋_GB2312" w:eastAsia="仿宋_GB2312"/>
          <w:sz w:val="32"/>
          <w:szCs w:val="32"/>
          <w:highlight w:val="none"/>
        </w:rPr>
        <w:t>1,053.66</w:t>
      </w:r>
      <w:r>
        <w:rPr>
          <w:rFonts w:hint="eastAsia" w:ascii="仿宋_GB2312" w:eastAsia="仿宋_GB2312"/>
          <w:color w:val="000000" w:themeColor="text1"/>
          <w:sz w:val="32"/>
          <w:szCs w:val="32"/>
          <w:highlight w:val="none"/>
        </w:rPr>
        <w:t>万元，其中：</w:t>
      </w:r>
      <w:bookmarkStart w:id="17" w:name="OLE_LINK8"/>
      <w:r>
        <w:rPr>
          <w:rFonts w:hint="eastAsia" w:ascii="仿宋_GB2312" w:eastAsia="仿宋_GB2312"/>
          <w:color w:val="000000" w:themeColor="text1"/>
          <w:sz w:val="32"/>
          <w:szCs w:val="32"/>
          <w:highlight w:val="none"/>
        </w:rPr>
        <w:t>基本支出</w:t>
      </w:r>
      <w:bookmarkEnd w:id="17"/>
      <w:r>
        <w:rPr>
          <w:rFonts w:hint="eastAsia" w:ascii="仿宋_GB2312" w:eastAsia="仿宋_GB2312"/>
          <w:sz w:val="32"/>
          <w:szCs w:val="32"/>
          <w:highlight w:val="none"/>
        </w:rPr>
        <w:t>682.74</w:t>
      </w:r>
      <w:r>
        <w:rPr>
          <w:rFonts w:hint="eastAsia" w:ascii="仿宋_GB2312" w:eastAsia="仿宋_GB2312"/>
          <w:color w:val="000000" w:themeColor="text1"/>
          <w:sz w:val="32"/>
          <w:szCs w:val="32"/>
          <w:highlight w:val="none"/>
        </w:rPr>
        <w:t>万元，占</w:t>
      </w:r>
      <w:r>
        <w:rPr>
          <w:rFonts w:hint="eastAsia" w:ascii="仿宋_GB2312" w:eastAsia="仿宋_GB2312"/>
          <w:sz w:val="32"/>
          <w:szCs w:val="32"/>
          <w:highlight w:val="none"/>
        </w:rPr>
        <w:t>64.8%</w:t>
      </w:r>
      <w:r>
        <w:rPr>
          <w:rFonts w:hint="eastAsia" w:ascii="仿宋_GB2312" w:eastAsia="仿宋_GB2312"/>
          <w:color w:val="000000" w:themeColor="text1"/>
          <w:sz w:val="32"/>
          <w:szCs w:val="32"/>
          <w:highlight w:val="none"/>
        </w:rPr>
        <w:t>；</w:t>
      </w:r>
      <w:bookmarkStart w:id="18" w:name="OLE_LINK9"/>
      <w:r>
        <w:rPr>
          <w:rFonts w:hint="eastAsia" w:ascii="仿宋_GB2312" w:eastAsia="仿宋_GB2312"/>
          <w:color w:val="000000" w:themeColor="text1"/>
          <w:sz w:val="32"/>
          <w:szCs w:val="32"/>
          <w:highlight w:val="none"/>
        </w:rPr>
        <w:t>项目支出</w:t>
      </w:r>
      <w:bookmarkEnd w:id="18"/>
      <w:r>
        <w:rPr>
          <w:rFonts w:hint="eastAsia" w:ascii="仿宋_GB2312" w:eastAsia="仿宋_GB2312"/>
          <w:sz w:val="32"/>
          <w:szCs w:val="32"/>
          <w:highlight w:val="none"/>
        </w:rPr>
        <w:t>370.92</w:t>
      </w:r>
      <w:r>
        <w:rPr>
          <w:rFonts w:hint="eastAsia" w:ascii="仿宋_GB2312" w:eastAsia="仿宋_GB2312"/>
          <w:color w:val="000000" w:themeColor="text1"/>
          <w:sz w:val="32"/>
          <w:szCs w:val="32"/>
          <w:highlight w:val="none"/>
        </w:rPr>
        <w:t>万元，占</w:t>
      </w:r>
      <w:r>
        <w:rPr>
          <w:rFonts w:hint="eastAsia" w:ascii="仿宋_GB2312" w:eastAsia="仿宋_GB2312"/>
          <w:sz w:val="32"/>
          <w:szCs w:val="32"/>
          <w:highlight w:val="none"/>
        </w:rPr>
        <w:t>35.2%</w:t>
      </w:r>
      <w:r>
        <w:rPr>
          <w:rFonts w:hint="eastAsia" w:ascii="仿宋_GB2312" w:eastAsia="仿宋_GB2312"/>
          <w:color w:val="000000" w:themeColor="text1"/>
          <w:sz w:val="32"/>
          <w:szCs w:val="32"/>
          <w:highlight w:val="none"/>
        </w:rPr>
        <w:t>；</w:t>
      </w:r>
      <w:bookmarkStart w:id="19" w:name="OLE_LINK10"/>
      <w:r>
        <w:rPr>
          <w:rFonts w:hint="eastAsia" w:ascii="仿宋_GB2312" w:eastAsia="仿宋_GB2312"/>
          <w:color w:val="000000" w:themeColor="text1"/>
          <w:sz w:val="32"/>
          <w:szCs w:val="32"/>
          <w:highlight w:val="none"/>
        </w:rPr>
        <w:t>上缴上级支出</w:t>
      </w:r>
      <w:bookmarkEnd w:id="19"/>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万元，占</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w:t>
      </w:r>
      <w:bookmarkStart w:id="20" w:name="OLE_LINK11"/>
      <w:r>
        <w:rPr>
          <w:rFonts w:hint="eastAsia" w:ascii="仿宋_GB2312" w:eastAsia="仿宋_GB2312"/>
          <w:color w:val="000000" w:themeColor="text1"/>
          <w:spacing w:val="-6"/>
          <w:sz w:val="32"/>
          <w:szCs w:val="32"/>
          <w:highlight w:val="none"/>
        </w:rPr>
        <w:t>经营支出</w:t>
      </w:r>
      <w:bookmarkEnd w:id="20"/>
      <w:r>
        <w:rPr>
          <w:rFonts w:hint="eastAsia" w:ascii="仿宋_GB2312" w:eastAsia="仿宋_GB2312"/>
          <w:sz w:val="32"/>
          <w:szCs w:val="32"/>
          <w:highlight w:val="none"/>
        </w:rPr>
        <w:t>0</w:t>
      </w:r>
      <w:r>
        <w:rPr>
          <w:rFonts w:hint="eastAsia" w:ascii="仿宋_GB2312" w:eastAsia="仿宋_GB2312"/>
          <w:color w:val="000000" w:themeColor="text1"/>
          <w:spacing w:val="-6"/>
          <w:sz w:val="32"/>
          <w:szCs w:val="32"/>
          <w:highlight w:val="none"/>
        </w:rPr>
        <w:t>万元，占</w:t>
      </w:r>
      <w:r>
        <w:rPr>
          <w:rFonts w:hint="eastAsia" w:ascii="仿宋_GB2312" w:eastAsia="仿宋_GB2312"/>
          <w:sz w:val="32"/>
          <w:szCs w:val="32"/>
          <w:highlight w:val="none"/>
        </w:rPr>
        <w:t>0%</w:t>
      </w:r>
      <w:r>
        <w:rPr>
          <w:rFonts w:hint="eastAsia" w:ascii="仿宋_GB2312" w:eastAsia="仿宋_GB2312"/>
          <w:color w:val="000000" w:themeColor="text1"/>
          <w:spacing w:val="-6"/>
          <w:sz w:val="32"/>
          <w:szCs w:val="32"/>
          <w:highlight w:val="none"/>
        </w:rPr>
        <w:t>；</w:t>
      </w:r>
      <w:bookmarkStart w:id="21" w:name="OLE_LINK12"/>
      <w:r>
        <w:rPr>
          <w:rFonts w:hint="eastAsia" w:ascii="仿宋_GB2312" w:eastAsia="仿宋_GB2312"/>
          <w:color w:val="000000" w:themeColor="text1"/>
          <w:spacing w:val="-6"/>
          <w:sz w:val="32"/>
          <w:szCs w:val="32"/>
          <w:highlight w:val="none"/>
        </w:rPr>
        <w:t>对附属单位补助支出</w:t>
      </w:r>
      <w:bookmarkEnd w:id="21"/>
      <w:r>
        <w:rPr>
          <w:rFonts w:hint="eastAsia" w:ascii="仿宋_GB2312" w:eastAsia="仿宋_GB2312"/>
          <w:sz w:val="32"/>
          <w:szCs w:val="32"/>
          <w:highlight w:val="none"/>
        </w:rPr>
        <w:t>0</w:t>
      </w:r>
      <w:r>
        <w:rPr>
          <w:rFonts w:hint="eastAsia" w:ascii="仿宋_GB2312" w:eastAsia="仿宋_GB2312"/>
          <w:color w:val="000000" w:themeColor="text1"/>
          <w:spacing w:val="-6"/>
          <w:sz w:val="32"/>
          <w:szCs w:val="32"/>
          <w:highlight w:val="none"/>
        </w:rPr>
        <w:t>万元，占</w:t>
      </w:r>
      <w:r>
        <w:rPr>
          <w:rFonts w:hint="eastAsia" w:ascii="仿宋_GB2312" w:eastAsia="仿宋_GB2312"/>
          <w:sz w:val="32"/>
          <w:szCs w:val="32"/>
          <w:highlight w:val="none"/>
        </w:rPr>
        <w:t>0%</w:t>
      </w:r>
    </w:p>
    <w:p>
      <w:pPr>
        <w:spacing w:line="540" w:lineRule="exact"/>
        <w:ind w:firstLine="640" w:firstLineChars="200"/>
        <w:rPr>
          <w:rFonts w:ascii="仿宋_GB2312" w:eastAsia="仿宋_GB2312"/>
          <w:sz w:val="32"/>
          <w:szCs w:val="32"/>
          <w:highlight w:val="none"/>
        </w:rPr>
      </w:pPr>
      <w:bookmarkStart w:id="22" w:name="OLE_LINK56"/>
      <w:r>
        <w:rPr>
          <w:rFonts w:hint="eastAsia" w:ascii="仿宋_GB2312" w:eastAsia="仿宋_GB2312"/>
          <w:color w:val="000000" w:themeColor="text1"/>
          <w:sz w:val="32"/>
          <w:szCs w:val="32"/>
          <w:highlight w:val="none"/>
        </w:rPr>
        <w:t>与年初预算数相比情况：本年支出年初预算数622.82万元，</w:t>
      </w:r>
      <w:r>
        <w:rPr>
          <w:rFonts w:hint="eastAsia" w:ascii="仿宋_GB2312" w:eastAsia="仿宋_GB2312"/>
          <w:sz w:val="32"/>
          <w:szCs w:val="32"/>
          <w:highlight w:val="none"/>
        </w:rPr>
        <w:t>决算数1,053.66万元</w:t>
      </w:r>
      <w:r>
        <w:rPr>
          <w:rFonts w:ascii="仿宋_GB2312" w:eastAsia="仿宋_GB2312"/>
          <w:sz w:val="32"/>
          <w:szCs w:val="32"/>
          <w:highlight w:val="none"/>
        </w:rPr>
        <w:t>，预决算差异率69.18%，差异主要原因是一是司法体制改革增发绩效工资，预算时未预算；二是拨入中央政法转移支付项目资金132.92万元，预算时未预算；三是2018年艰苦边远地区津贴、基本工资调标，并补发，预算时未预算；四是财政拨付38万元、其他收入200万元用于支付业务用房工程欠款</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年末无</w:t>
      </w:r>
      <w:r>
        <w:rPr>
          <w:rFonts w:hint="eastAsia" w:ascii="仿宋_GB2312" w:eastAsia="仿宋_GB2312"/>
          <w:sz w:val="32"/>
          <w:szCs w:val="32"/>
          <w:highlight w:val="none"/>
          <w:lang w:eastAsia="zh-CN"/>
        </w:rPr>
        <w:t>结转结余</w:t>
      </w:r>
      <w:r>
        <w:rPr>
          <w:rFonts w:hint="eastAsia" w:ascii="仿宋_GB2312" w:eastAsia="仿宋_GB2312"/>
          <w:sz w:val="32"/>
          <w:szCs w:val="32"/>
          <w:highlight w:val="none"/>
          <w:lang w:val="en-US" w:eastAsia="zh-CN"/>
        </w:rPr>
        <w:t>资金</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lang w:eastAsia="zh-CN"/>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lang w:eastAsia="zh-CN"/>
        </w:rPr>
        <w:t>%</w:t>
      </w:r>
      <w:r>
        <w:rPr>
          <w:rFonts w:ascii="仿宋_GB2312" w:eastAsia="仿宋_GB2312"/>
          <w:sz w:val="32"/>
          <w:szCs w:val="32"/>
          <w:highlight w:val="none"/>
        </w:rPr>
        <w:t>。</w:t>
      </w:r>
    </w:p>
    <w:bookmarkEnd w:id="22"/>
    <w:p>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二、部门财政拨款收支情况</w:t>
      </w:r>
    </w:p>
    <w:p>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（一）财政拨款收支总体情况说明</w:t>
      </w:r>
    </w:p>
    <w:p>
      <w:pPr>
        <w:spacing w:line="540" w:lineRule="exact"/>
        <w:ind w:firstLine="640" w:firstLineChars="200"/>
        <w:rPr>
          <w:rFonts w:ascii="仿宋_GB2312" w:eastAsia="仿宋_GB2312"/>
          <w:sz w:val="32"/>
          <w:szCs w:val="32"/>
          <w:highlight w:val="none"/>
        </w:rPr>
      </w:pPr>
      <w:bookmarkStart w:id="23" w:name="OLE_LINK58"/>
      <w:bookmarkStart w:id="24" w:name="OLE_LINK57"/>
      <w:r>
        <w:rPr>
          <w:rFonts w:hint="eastAsia" w:ascii="仿宋_GB2312" w:eastAsia="仿宋_GB2312"/>
          <w:color w:val="000000" w:themeColor="text1"/>
          <w:sz w:val="32"/>
          <w:szCs w:val="32"/>
          <w:highlight w:val="none"/>
        </w:rPr>
        <w:t>2018年度</w:t>
      </w:r>
      <w:bookmarkStart w:id="25" w:name="OLE_LINK13"/>
      <w:r>
        <w:rPr>
          <w:rFonts w:hint="eastAsia" w:ascii="仿宋_GB2312" w:eastAsia="仿宋_GB2312"/>
          <w:color w:val="000000" w:themeColor="text1"/>
          <w:sz w:val="32"/>
          <w:szCs w:val="32"/>
          <w:highlight w:val="none"/>
        </w:rPr>
        <w:t>财政拨款收入</w:t>
      </w:r>
      <w:bookmarkEnd w:id="25"/>
      <w:r>
        <w:rPr>
          <w:rFonts w:hint="eastAsia" w:ascii="仿宋_GB2312" w:eastAsia="仿宋_GB2312"/>
          <w:sz w:val="32"/>
          <w:szCs w:val="32"/>
          <w:highlight w:val="none"/>
        </w:rPr>
        <w:t>853.66</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，与上年相比，增加9.28万元，增长1.1%，增加的主要原因是：人员工资增加。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highlight w:val="none"/>
        </w:rPr>
        <w:t>财政拨款支出</w:t>
      </w:r>
      <w:bookmarkEnd w:id="26"/>
      <w:r>
        <w:rPr>
          <w:rFonts w:hint="eastAsia" w:ascii="仿宋_GB2312" w:eastAsia="仿宋_GB2312"/>
          <w:sz w:val="32"/>
          <w:szCs w:val="32"/>
          <w:highlight w:val="none"/>
        </w:rPr>
        <w:t>853.66</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，与上年相比，增加9.28万元，增长1.1%，增加的主要原因是：</w:t>
      </w:r>
      <w:r>
        <w:rPr>
          <w:rFonts w:ascii="仿宋_GB2312" w:eastAsia="仿宋_GB2312"/>
          <w:sz w:val="32"/>
          <w:szCs w:val="32"/>
          <w:highlight w:val="none"/>
        </w:rPr>
        <w:t>人员工资增加。</w:t>
      </w:r>
      <w:bookmarkEnd w:id="27"/>
      <w:bookmarkEnd w:id="28"/>
      <w:bookmarkStart w:id="29" w:name="OLE_LINK61"/>
      <w:r>
        <w:rPr>
          <w:rFonts w:hint="eastAsia" w:ascii="仿宋_GB2312" w:eastAsia="仿宋_GB2312"/>
          <w:color w:val="000000" w:themeColor="text1"/>
          <w:sz w:val="32"/>
          <w:szCs w:val="32"/>
          <w:highlight w:val="none"/>
        </w:rPr>
        <w:t>其中：</w:t>
      </w:r>
      <w:bookmarkStart w:id="30" w:name="OLE_LINK15"/>
      <w:r>
        <w:rPr>
          <w:rFonts w:hint="eastAsia" w:ascii="仿宋_GB2312" w:eastAsia="仿宋_GB2312"/>
          <w:color w:val="000000" w:themeColor="text1"/>
          <w:sz w:val="32"/>
          <w:szCs w:val="32"/>
          <w:highlight w:val="none"/>
        </w:rPr>
        <w:t>基本支出</w:t>
      </w:r>
      <w:bookmarkEnd w:id="30"/>
      <w:r>
        <w:rPr>
          <w:rFonts w:hint="eastAsia" w:ascii="仿宋_GB2312" w:eastAsia="仿宋_GB2312"/>
          <w:sz w:val="32"/>
          <w:szCs w:val="32"/>
          <w:highlight w:val="none"/>
        </w:rPr>
        <w:t>682.74</w:t>
      </w:r>
      <w:r>
        <w:rPr>
          <w:rFonts w:hint="eastAsia" w:ascii="仿宋_GB2312" w:eastAsia="仿宋_GB2312"/>
          <w:color w:val="000000" w:themeColor="text1"/>
          <w:sz w:val="32"/>
          <w:szCs w:val="32"/>
          <w:highlight w:val="none"/>
        </w:rPr>
        <w:t>万元，项目支出</w:t>
      </w:r>
      <w:r>
        <w:rPr>
          <w:rFonts w:hint="eastAsia" w:ascii="仿宋_GB2312" w:eastAsia="仿宋_GB2312"/>
          <w:sz w:val="32"/>
          <w:szCs w:val="32"/>
          <w:highlight w:val="none"/>
        </w:rPr>
        <w:t>170.92</w:t>
      </w:r>
      <w:r>
        <w:rPr>
          <w:rFonts w:hint="eastAsia" w:ascii="仿宋_GB2312" w:eastAsia="仿宋_GB2312"/>
          <w:color w:val="000000" w:themeColor="text1"/>
          <w:sz w:val="32"/>
          <w:szCs w:val="32"/>
          <w:highlight w:val="none"/>
        </w:rPr>
        <w:t>万元。</w:t>
      </w:r>
      <w:bookmarkStart w:id="31" w:name="OLE_LINK16"/>
      <w:r>
        <w:rPr>
          <w:rFonts w:hint="eastAsia" w:ascii="仿宋_GB2312" w:eastAsia="仿宋_GB2312"/>
          <w:color w:val="000000" w:themeColor="text1"/>
          <w:sz w:val="32"/>
          <w:szCs w:val="32"/>
          <w:highlight w:val="none"/>
        </w:rPr>
        <w:t>财政拨款结转结余</w:t>
      </w:r>
      <w:bookmarkEnd w:id="31"/>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lang w:eastAsia="zh-CN"/>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lang w:eastAsia="zh-CN"/>
        </w:rPr>
        <w:t>%，</w:t>
      </w:r>
    </w:p>
    <w:p>
      <w:pPr>
        <w:spacing w:line="540" w:lineRule="exact"/>
        <w:rPr>
          <w:rFonts w:ascii="仿宋_GB2312" w:eastAsia="仿宋_GB2312"/>
          <w:color w:val="000000" w:themeColor="text1"/>
          <w:sz w:val="32"/>
          <w:szCs w:val="32"/>
          <w:highlight w:val="none"/>
        </w:rPr>
      </w:pPr>
      <w:r>
        <w:rPr>
          <w:rFonts w:hint="eastAsia" w:ascii="仿宋_GB2312" w:eastAsia="仿宋_GB2312"/>
          <w:sz w:val="32"/>
          <w:szCs w:val="32"/>
          <w:highlight w:val="none"/>
        </w:rPr>
        <w:t>主要原因是：资金使用到位，</w:t>
      </w:r>
      <w:bookmarkEnd w:id="29"/>
      <w:r>
        <w:rPr>
          <w:rFonts w:hint="eastAsia" w:ascii="仿宋_GB2312" w:eastAsia="仿宋_GB2312"/>
          <w:sz w:val="32"/>
          <w:szCs w:val="32"/>
          <w:highlight w:val="none"/>
        </w:rPr>
        <w:t>未产生结余。</w:t>
      </w:r>
    </w:p>
    <w:p>
      <w:pPr>
        <w:spacing w:line="540" w:lineRule="exact"/>
        <w:ind w:firstLine="640" w:firstLineChars="200"/>
        <w:rPr>
          <w:rFonts w:ascii="仿宋_GB2312" w:eastAsia="仿宋_GB2312"/>
          <w:color w:val="000000" w:themeColor="text1"/>
          <w:sz w:val="32"/>
          <w:szCs w:val="32"/>
          <w:highlight w:val="none"/>
        </w:rPr>
      </w:pPr>
      <w:bookmarkStart w:id="32" w:name="OLE_LINK62"/>
      <w:r>
        <w:rPr>
          <w:rFonts w:hint="eastAsia" w:ascii="仿宋_GB2312" w:eastAsia="仿宋_GB2312"/>
          <w:color w:val="000000" w:themeColor="text1"/>
          <w:sz w:val="32"/>
          <w:szCs w:val="32"/>
          <w:highlight w:val="none"/>
        </w:rPr>
        <w:t>与年初预算数相比情况：财政拨款收入年初预算数</w:t>
      </w:r>
      <w:r>
        <w:rPr>
          <w:rFonts w:ascii="仿宋_GB2312" w:eastAsia="仿宋_GB2312"/>
          <w:color w:val="000000" w:themeColor="text1"/>
          <w:sz w:val="32"/>
          <w:szCs w:val="32"/>
          <w:highlight w:val="none"/>
        </w:rPr>
        <w:t>622.82</w:t>
      </w:r>
      <w:r>
        <w:rPr>
          <w:rFonts w:hint="eastAsia" w:ascii="仿宋_GB2312" w:eastAsia="仿宋_GB2312"/>
          <w:color w:val="000000" w:themeColor="text1"/>
          <w:sz w:val="32"/>
          <w:szCs w:val="32"/>
          <w:highlight w:val="none"/>
        </w:rPr>
        <w:t>万元，决算数</w:t>
      </w:r>
      <w:r>
        <w:rPr>
          <w:rFonts w:hint="eastAsia" w:ascii="仿宋_GB2312" w:eastAsia="仿宋_GB2312"/>
          <w:sz w:val="32"/>
          <w:szCs w:val="32"/>
          <w:highlight w:val="none"/>
        </w:rPr>
        <w:t>853.66</w:t>
      </w:r>
      <w:r>
        <w:rPr>
          <w:rFonts w:hint="eastAsia" w:ascii="仿宋_GB2312" w:eastAsia="仿宋_GB2312"/>
          <w:color w:val="000000" w:themeColor="text1"/>
          <w:sz w:val="32"/>
          <w:szCs w:val="32"/>
          <w:highlight w:val="none"/>
        </w:rPr>
        <w:t>万元</w:t>
      </w:r>
      <w:r>
        <w:rPr>
          <w:rFonts w:ascii="仿宋_GB2312" w:eastAsia="仿宋_GB2312"/>
          <w:color w:val="000000" w:themeColor="text1"/>
          <w:sz w:val="32"/>
          <w:szCs w:val="32"/>
          <w:highlight w:val="none"/>
        </w:rPr>
        <w:t>，预决算差异率37.06%，差异主要原因是中央政法转移支付资金未列入预算。</w:t>
      </w:r>
      <w:bookmarkEnd w:id="32"/>
      <w:bookmarkStart w:id="33" w:name="OLE_LINK63"/>
      <w:r>
        <w:rPr>
          <w:rFonts w:hint="eastAsia" w:ascii="仿宋_GB2312" w:eastAsia="仿宋_GB2312"/>
          <w:color w:val="000000" w:themeColor="text1"/>
          <w:sz w:val="32"/>
          <w:szCs w:val="32"/>
          <w:highlight w:val="none"/>
        </w:rPr>
        <w:t>财政拨款支出年初预算数</w:t>
      </w:r>
      <w:r>
        <w:rPr>
          <w:rFonts w:ascii="仿宋_GB2312" w:eastAsia="仿宋_GB2312"/>
          <w:color w:val="000000" w:themeColor="text1"/>
          <w:sz w:val="32"/>
          <w:szCs w:val="32"/>
          <w:highlight w:val="none"/>
        </w:rPr>
        <w:t>622.82</w:t>
      </w:r>
      <w:r>
        <w:rPr>
          <w:rFonts w:hint="eastAsia" w:ascii="仿宋_GB2312" w:eastAsia="仿宋_GB2312"/>
          <w:color w:val="000000" w:themeColor="text1"/>
          <w:sz w:val="32"/>
          <w:szCs w:val="32"/>
          <w:highlight w:val="none"/>
        </w:rPr>
        <w:t>万元，决算数</w:t>
      </w:r>
      <w:r>
        <w:rPr>
          <w:rFonts w:hint="eastAsia" w:ascii="仿宋_GB2312" w:eastAsia="仿宋_GB2312"/>
          <w:sz w:val="32"/>
          <w:szCs w:val="32"/>
          <w:highlight w:val="none"/>
        </w:rPr>
        <w:t>853.66</w:t>
      </w:r>
      <w:r>
        <w:rPr>
          <w:rFonts w:hint="eastAsia" w:ascii="仿宋_GB2312" w:eastAsia="仿宋_GB2312"/>
          <w:color w:val="000000" w:themeColor="text1"/>
          <w:sz w:val="32"/>
          <w:szCs w:val="32"/>
          <w:highlight w:val="none"/>
        </w:rPr>
        <w:t>万元</w:t>
      </w:r>
      <w:r>
        <w:rPr>
          <w:rFonts w:ascii="仿宋_GB2312" w:eastAsia="仿宋_GB2312"/>
          <w:color w:val="000000" w:themeColor="text1"/>
          <w:sz w:val="32"/>
          <w:szCs w:val="32"/>
          <w:highlight w:val="none"/>
        </w:rPr>
        <w:t>，预决算差异率37.06%，差异主要原因是中央政法转移支付资金未列入预算，人员工资增加。</w:t>
      </w:r>
      <w:bookmarkEnd w:id="33"/>
    </w:p>
    <w:p>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（二）一般公共预算收支决算情况说明</w:t>
      </w:r>
    </w:p>
    <w:p>
      <w:pPr>
        <w:spacing w:line="540" w:lineRule="exact"/>
        <w:ind w:firstLine="640" w:firstLineChars="200"/>
        <w:rPr>
          <w:rFonts w:ascii="仿宋_GB2312" w:eastAsia="仿宋_GB2312"/>
          <w:color w:val="000000" w:themeColor="text1"/>
          <w:sz w:val="32"/>
          <w:szCs w:val="32"/>
          <w:highlight w:val="none"/>
        </w:rPr>
      </w:pPr>
      <w:bookmarkStart w:id="34" w:name="OLE_LINK64"/>
      <w:r>
        <w:rPr>
          <w:rFonts w:hint="eastAsia" w:ascii="仿宋_GB2312" w:eastAsia="仿宋_GB2312"/>
          <w:color w:val="000000" w:themeColor="text1"/>
          <w:sz w:val="32"/>
          <w:szCs w:val="32"/>
          <w:highlight w:val="none"/>
        </w:rPr>
        <w:t>2018年度</w:t>
      </w:r>
      <w:bookmarkStart w:id="35" w:name="OLE_LINK17"/>
      <w:r>
        <w:rPr>
          <w:rFonts w:hint="eastAsia" w:ascii="仿宋_GB2312" w:eastAsia="仿宋_GB2312"/>
          <w:color w:val="000000" w:themeColor="text1"/>
          <w:sz w:val="32"/>
          <w:szCs w:val="32"/>
          <w:highlight w:val="none"/>
        </w:rPr>
        <w:t>一般公共预算财政拨款收入</w:t>
      </w:r>
      <w:bookmarkEnd w:id="35"/>
      <w:r>
        <w:rPr>
          <w:rFonts w:ascii="仿宋_GB2312" w:eastAsia="仿宋_GB2312"/>
          <w:color w:val="000000" w:themeColor="text1"/>
          <w:sz w:val="32"/>
          <w:szCs w:val="32"/>
          <w:highlight w:val="none"/>
        </w:rPr>
        <w:t>853.66</w:t>
      </w:r>
      <w:r>
        <w:rPr>
          <w:rFonts w:hint="eastAsia" w:ascii="仿宋_GB2312" w:eastAsia="仿宋_GB2312"/>
          <w:color w:val="000000" w:themeColor="text1"/>
          <w:sz w:val="32"/>
          <w:szCs w:val="32"/>
          <w:highlight w:val="none"/>
        </w:rPr>
        <w:t>万元</w:t>
      </w:r>
      <w:r>
        <w:rPr>
          <w:rFonts w:ascii="仿宋_GB2312" w:eastAsia="仿宋_GB2312"/>
          <w:color w:val="000000" w:themeColor="text1"/>
          <w:sz w:val="32"/>
          <w:szCs w:val="32"/>
          <w:highlight w:val="none"/>
        </w:rPr>
        <w:t>，与上年相比，增加9.28万元，增长1.1%，增加的主要原因是：人员工资增加。</w:t>
      </w:r>
      <w:bookmarkEnd w:id="34"/>
      <w:bookmarkStart w:id="36" w:name="OLE_LINK18"/>
      <w:bookmarkStart w:id="37" w:name="OLE_LINK65"/>
      <w:r>
        <w:rPr>
          <w:rFonts w:hint="eastAsia" w:ascii="仿宋_GB2312" w:eastAsia="仿宋_GB2312"/>
          <w:color w:val="000000" w:themeColor="text1"/>
          <w:sz w:val="32"/>
          <w:szCs w:val="32"/>
          <w:highlight w:val="none"/>
        </w:rPr>
        <w:t>一般公共预算财政拨款支出</w:t>
      </w:r>
      <w:r>
        <w:rPr>
          <w:rFonts w:hint="eastAsia" w:ascii="仿宋_GB2312" w:eastAsia="仿宋_GB2312"/>
          <w:sz w:val="32"/>
          <w:szCs w:val="32"/>
          <w:highlight w:val="none"/>
        </w:rPr>
        <w:t>853.66</w:t>
      </w:r>
      <w:r>
        <w:rPr>
          <w:rFonts w:hint="eastAsia" w:ascii="仿宋_GB2312" w:eastAsia="仿宋_GB2312"/>
          <w:color w:val="000000" w:themeColor="text1"/>
          <w:sz w:val="32"/>
          <w:szCs w:val="32"/>
          <w:highlight w:val="none"/>
        </w:rPr>
        <w:t>万元</w:t>
      </w:r>
      <w:bookmarkEnd w:id="36"/>
      <w:r>
        <w:rPr>
          <w:rFonts w:hint="eastAsia" w:ascii="仿宋_GB2312" w:eastAsia="仿宋_GB2312"/>
          <w:sz w:val="32"/>
          <w:szCs w:val="32"/>
          <w:highlight w:val="none"/>
        </w:rPr>
        <w:t>，与上年相比，增加9.28万元，增长1.1%，增加的主要原因是：人员工资增加。</w:t>
      </w:r>
      <w:bookmarkEnd w:id="37"/>
      <w:r>
        <w:rPr>
          <w:rFonts w:hint="eastAsia" w:ascii="仿宋_GB2312" w:eastAsia="仿宋_GB2312"/>
          <w:color w:val="000000" w:themeColor="text1"/>
          <w:sz w:val="32"/>
          <w:szCs w:val="32"/>
          <w:highlight w:val="none"/>
        </w:rPr>
        <w:t>其中：</w:t>
      </w:r>
      <w:bookmarkStart w:id="38" w:name="OLE_LINK19"/>
      <w:r>
        <w:rPr>
          <w:rFonts w:hint="eastAsia" w:ascii="仿宋_GB2312" w:eastAsia="仿宋_GB2312"/>
          <w:color w:val="000000" w:themeColor="text1"/>
          <w:sz w:val="32"/>
          <w:szCs w:val="32"/>
          <w:highlight w:val="none"/>
        </w:rPr>
        <w:t>按功能分类科目（按类级科目公开）</w:t>
      </w:r>
      <w:bookmarkEnd w:id="38"/>
      <w:r>
        <w:rPr>
          <w:rFonts w:hint="eastAsia" w:ascii="仿宋_GB2312" w:eastAsia="仿宋_GB2312"/>
          <w:color w:val="000000" w:themeColor="text1"/>
          <w:sz w:val="32"/>
          <w:szCs w:val="32"/>
          <w:highlight w:val="none"/>
        </w:rPr>
        <w:t>，</w:t>
      </w:r>
      <w:r>
        <w:rPr>
          <w:rFonts w:hint="eastAsia" w:ascii="仿宋_GB2312" w:eastAsia="仿宋_GB2312"/>
          <w:sz w:val="32"/>
          <w:szCs w:val="32"/>
          <w:highlight w:val="none"/>
        </w:rPr>
        <w:t>住房保障支出42.19万元,公共安全支出749.01万元,社会保障和就业支出62.46万元。</w:t>
      </w:r>
      <w:bookmarkStart w:id="39" w:name="OLE_LINK20"/>
      <w:bookmarkStart w:id="40" w:name="OLE_LINK21"/>
      <w:r>
        <w:rPr>
          <w:rFonts w:hint="eastAsia" w:ascii="仿宋_GB2312" w:eastAsia="仿宋_GB2312"/>
          <w:color w:val="000000" w:themeColor="text1"/>
          <w:sz w:val="32"/>
          <w:szCs w:val="32"/>
          <w:highlight w:val="none"/>
        </w:rPr>
        <w:t>按经济分类科目</w:t>
      </w:r>
      <w:bookmarkEnd w:id="39"/>
      <w:r>
        <w:rPr>
          <w:rFonts w:hint="eastAsia" w:ascii="仿宋_GB2312" w:eastAsia="仿宋_GB2312"/>
          <w:color w:val="000000" w:themeColor="text1"/>
          <w:sz w:val="32"/>
          <w:szCs w:val="32"/>
          <w:highlight w:val="none"/>
        </w:rPr>
        <w:t>（按类级科目公开）</w:t>
      </w:r>
      <w:bookmarkEnd w:id="40"/>
      <w:r>
        <w:rPr>
          <w:rFonts w:hint="eastAsia" w:ascii="仿宋_GB2312" w:eastAsia="仿宋_GB2312"/>
          <w:color w:val="000000" w:themeColor="text1"/>
          <w:sz w:val="32"/>
          <w:szCs w:val="32"/>
          <w:highlight w:val="none"/>
        </w:rPr>
        <w:t>，</w:t>
      </w:r>
      <w:r>
        <w:rPr>
          <w:rFonts w:hint="eastAsia" w:ascii="仿宋_GB2312" w:eastAsia="仿宋_GB2312"/>
          <w:sz w:val="32"/>
          <w:szCs w:val="32"/>
          <w:highlight w:val="none"/>
        </w:rPr>
        <w:t>工资福利支出513.58万元,商品和服务支出137.46万元,对个人和家庭的补助137.62万元,资本性支出65万元。</w:t>
      </w:r>
    </w:p>
    <w:p>
      <w:pPr>
        <w:spacing w:line="540" w:lineRule="exact"/>
        <w:ind w:firstLine="640" w:firstLineChars="200"/>
        <w:rPr>
          <w:rFonts w:ascii="仿宋_GB2312" w:eastAsia="仿宋_GB2312"/>
          <w:color w:val="000000" w:themeColor="text1"/>
          <w:sz w:val="32"/>
          <w:szCs w:val="32"/>
          <w:highlight w:val="none"/>
        </w:rPr>
      </w:pPr>
      <w:bookmarkStart w:id="41" w:name="OLE_LINK67"/>
      <w:bookmarkStart w:id="42" w:name="OLE_LINK66"/>
      <w:r>
        <w:rPr>
          <w:rFonts w:hint="eastAsia" w:ascii="仿宋_GB2312" w:eastAsia="仿宋_GB2312"/>
          <w:color w:val="000000" w:themeColor="text1"/>
          <w:sz w:val="32"/>
          <w:szCs w:val="32"/>
          <w:highlight w:val="none"/>
        </w:rPr>
        <w:t>与年初预算数相比情况：一般公共预算财政拨款收入年初预算数</w:t>
      </w:r>
      <w:r>
        <w:rPr>
          <w:rFonts w:ascii="仿宋_GB2312" w:eastAsia="仿宋_GB2312"/>
          <w:color w:val="000000" w:themeColor="text1"/>
          <w:sz w:val="32"/>
          <w:szCs w:val="32"/>
          <w:highlight w:val="none"/>
        </w:rPr>
        <w:t>622.82</w:t>
      </w:r>
      <w:r>
        <w:rPr>
          <w:rFonts w:hint="eastAsia" w:ascii="仿宋_GB2312" w:eastAsia="仿宋_GB2312"/>
          <w:color w:val="000000" w:themeColor="text1"/>
          <w:sz w:val="32"/>
          <w:szCs w:val="32"/>
          <w:highlight w:val="none"/>
        </w:rPr>
        <w:t>万元，决算数</w:t>
      </w:r>
      <w:r>
        <w:rPr>
          <w:rFonts w:ascii="仿宋_GB2312" w:eastAsia="仿宋_GB2312"/>
          <w:color w:val="000000" w:themeColor="text1"/>
          <w:sz w:val="32"/>
          <w:szCs w:val="32"/>
          <w:highlight w:val="none"/>
        </w:rPr>
        <w:t>853.66</w:t>
      </w:r>
      <w:r>
        <w:rPr>
          <w:rFonts w:hint="eastAsia" w:ascii="仿宋_GB2312" w:eastAsia="仿宋_GB2312"/>
          <w:color w:val="000000" w:themeColor="text1"/>
          <w:sz w:val="32"/>
          <w:szCs w:val="32"/>
          <w:highlight w:val="none"/>
        </w:rPr>
        <w:t>万元</w:t>
      </w:r>
      <w:r>
        <w:rPr>
          <w:rFonts w:ascii="仿宋_GB2312" w:eastAsia="仿宋_GB2312"/>
          <w:color w:val="000000" w:themeColor="text1"/>
          <w:sz w:val="32"/>
          <w:szCs w:val="32"/>
          <w:highlight w:val="none"/>
        </w:rPr>
        <w:t>，预决算差异率37.06%，差异主要原因是中央政法转移支付资金未列入预算，人员工资增加。</w:t>
      </w:r>
      <w:bookmarkEnd w:id="41"/>
      <w:bookmarkEnd w:id="42"/>
      <w:bookmarkStart w:id="43" w:name="OLE_LINK68"/>
      <w:r>
        <w:rPr>
          <w:rFonts w:hint="eastAsia" w:ascii="仿宋_GB2312" w:eastAsia="仿宋_GB2312"/>
          <w:color w:val="000000" w:themeColor="text1"/>
          <w:sz w:val="32"/>
          <w:szCs w:val="32"/>
          <w:highlight w:val="none"/>
        </w:rPr>
        <w:t>一般公共预算财政拨款支出年初预算数</w:t>
      </w:r>
      <w:r>
        <w:rPr>
          <w:rFonts w:ascii="仿宋_GB2312" w:eastAsia="仿宋_GB2312"/>
          <w:color w:val="000000" w:themeColor="text1"/>
          <w:sz w:val="32"/>
          <w:szCs w:val="32"/>
          <w:highlight w:val="none"/>
        </w:rPr>
        <w:t>622.82</w:t>
      </w:r>
      <w:r>
        <w:rPr>
          <w:rFonts w:hint="eastAsia" w:ascii="仿宋_GB2312" w:eastAsia="仿宋_GB2312"/>
          <w:color w:val="000000" w:themeColor="text1"/>
          <w:sz w:val="32"/>
          <w:szCs w:val="32"/>
          <w:highlight w:val="none"/>
        </w:rPr>
        <w:t>万元，决算数</w:t>
      </w:r>
      <w:r>
        <w:rPr>
          <w:rFonts w:ascii="仿宋_GB2312" w:eastAsia="仿宋_GB2312"/>
          <w:color w:val="000000" w:themeColor="text1"/>
          <w:sz w:val="32"/>
          <w:szCs w:val="32"/>
          <w:highlight w:val="none"/>
        </w:rPr>
        <w:t>853.66</w:t>
      </w:r>
      <w:r>
        <w:rPr>
          <w:rFonts w:hint="eastAsia" w:ascii="仿宋_GB2312" w:eastAsia="仿宋_GB2312"/>
          <w:color w:val="000000" w:themeColor="text1"/>
          <w:sz w:val="32"/>
          <w:szCs w:val="32"/>
          <w:highlight w:val="none"/>
        </w:rPr>
        <w:t>万元</w:t>
      </w:r>
      <w:r>
        <w:rPr>
          <w:rFonts w:ascii="仿宋_GB2312" w:eastAsia="仿宋_GB2312"/>
          <w:color w:val="000000" w:themeColor="text1"/>
          <w:sz w:val="32"/>
          <w:szCs w:val="32"/>
          <w:highlight w:val="none"/>
        </w:rPr>
        <w:t>，预决算差异率37.06%，差异主要原因是中央政法转移支付资金未列入预算，人员工资增加。</w:t>
      </w:r>
      <w:bookmarkEnd w:id="43"/>
    </w:p>
    <w:p>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（三）政府性基金预算收支决算情况说明</w:t>
      </w:r>
    </w:p>
    <w:p>
      <w:pPr>
        <w:spacing w:line="540" w:lineRule="exact"/>
        <w:ind w:firstLine="640" w:firstLineChars="200"/>
        <w:rPr>
          <w:rFonts w:ascii="仿宋_GB2312" w:eastAsia="仿宋_GB2312"/>
          <w:color w:val="000000" w:themeColor="text1"/>
          <w:sz w:val="32"/>
          <w:szCs w:val="32"/>
          <w:highlight w:val="none"/>
        </w:rPr>
      </w:pPr>
      <w:bookmarkStart w:id="44" w:name="OLE_LINK69"/>
      <w:r>
        <w:rPr>
          <w:rFonts w:hint="eastAsia" w:ascii="仿宋_GB2312" w:eastAsia="仿宋_GB2312"/>
          <w:color w:val="000000" w:themeColor="text1"/>
          <w:sz w:val="32"/>
          <w:szCs w:val="32"/>
          <w:highlight w:val="none"/>
        </w:rPr>
        <w:t>2018年度</w:t>
      </w:r>
      <w:bookmarkStart w:id="45" w:name="OLE_LINK22"/>
      <w:r>
        <w:rPr>
          <w:rFonts w:hint="eastAsia" w:ascii="仿宋_GB2312" w:eastAsia="仿宋_GB2312"/>
          <w:color w:val="000000" w:themeColor="text1"/>
          <w:sz w:val="32"/>
          <w:szCs w:val="32"/>
          <w:highlight w:val="none"/>
        </w:rPr>
        <w:t>政府性基金预算财政拨款收入</w:t>
      </w:r>
      <w:bookmarkEnd w:id="45"/>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w:t>
      </w:r>
      <w:r>
        <w:rPr>
          <w:rFonts w:hint="eastAsia" w:ascii="仿宋_GB2312" w:eastAsia="仿宋_GB2312"/>
          <w:sz w:val="32"/>
          <w:szCs w:val="32"/>
          <w:highlight w:val="none"/>
        </w:rPr>
        <w:t>与上年相比增加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rPr>
        <w:t>主要原因是：无政府性基金收支。</w:t>
      </w:r>
      <w:bookmarkEnd w:id="44"/>
      <w:bookmarkStart w:id="46" w:name="OLE_LINK23"/>
      <w:bookmarkStart w:id="47" w:name="OLE_LINK70"/>
      <w:r>
        <w:rPr>
          <w:rFonts w:hint="eastAsia" w:ascii="仿宋_GB2312" w:eastAsia="仿宋_GB2312"/>
          <w:color w:val="000000" w:themeColor="text1"/>
          <w:sz w:val="32"/>
          <w:szCs w:val="32"/>
          <w:highlight w:val="none"/>
        </w:rPr>
        <w:t>政府性基金预算支出</w:t>
      </w:r>
      <w:bookmarkEnd w:id="46"/>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w:t>
      </w:r>
      <w:r>
        <w:rPr>
          <w:rFonts w:hint="eastAsia" w:ascii="仿宋_GB2312" w:eastAsia="仿宋_GB2312"/>
          <w:sz w:val="32"/>
          <w:szCs w:val="32"/>
          <w:highlight w:val="none"/>
        </w:rPr>
        <w:t>与上年相比增加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rPr>
        <w:t>主要原因是：无政府性基金收支。</w:t>
      </w:r>
      <w:bookmarkEnd w:id="47"/>
      <w:r>
        <w:rPr>
          <w:rFonts w:hint="eastAsia" w:ascii="仿宋_GB2312" w:eastAsia="仿宋_GB2312"/>
          <w:color w:val="000000" w:themeColor="text1"/>
          <w:sz w:val="32"/>
          <w:szCs w:val="32"/>
          <w:highlight w:val="none"/>
        </w:rPr>
        <w:t>其中：</w:t>
      </w:r>
      <w:bookmarkStart w:id="48" w:name="OLE_LINK24"/>
      <w:r>
        <w:rPr>
          <w:rFonts w:hint="eastAsia" w:ascii="仿宋_GB2312" w:eastAsia="仿宋_GB2312"/>
          <w:color w:val="000000" w:themeColor="text1"/>
          <w:sz w:val="32"/>
          <w:szCs w:val="32"/>
          <w:highlight w:val="none"/>
        </w:rPr>
        <w:t>按功能分类科目（按类级科目公开）</w:t>
      </w:r>
      <w:bookmarkEnd w:id="48"/>
      <w:r>
        <w:rPr>
          <w:rFonts w:hint="eastAsia" w:ascii="仿宋_GB2312" w:eastAsia="仿宋_GB2312"/>
          <w:color w:val="000000" w:themeColor="text1"/>
          <w:sz w:val="32"/>
          <w:szCs w:val="32"/>
          <w:highlight w:val="none"/>
        </w:rPr>
        <w:t>，</w:t>
      </w:r>
      <w:r>
        <w:rPr>
          <w:rFonts w:hint="eastAsia" w:ascii="仿宋_GB2312" w:eastAsia="仿宋_GB2312"/>
          <w:sz w:val="32"/>
          <w:szCs w:val="32"/>
          <w:highlight w:val="none"/>
        </w:rPr>
        <w:t>无政府性基金收支</w:t>
      </w:r>
      <w:r>
        <w:rPr>
          <w:rFonts w:hint="eastAsia" w:ascii="仿宋_GB2312" w:eastAsia="仿宋_GB2312"/>
          <w:color w:val="000000" w:themeColor="text1"/>
          <w:sz w:val="32"/>
          <w:szCs w:val="32"/>
          <w:highlight w:val="none"/>
        </w:rPr>
        <w:t>。按经济分类科目（按类级科目公开），</w:t>
      </w:r>
      <w:r>
        <w:rPr>
          <w:rFonts w:hint="eastAsia" w:ascii="仿宋_GB2312" w:eastAsia="仿宋_GB2312"/>
          <w:sz w:val="32"/>
          <w:szCs w:val="32"/>
          <w:highlight w:val="none"/>
        </w:rPr>
        <w:t>无政府性基金收支</w:t>
      </w:r>
      <w:r>
        <w:rPr>
          <w:rFonts w:hint="eastAsia" w:ascii="仿宋_GB2312" w:eastAsia="仿宋_GB2312"/>
          <w:color w:val="000000" w:themeColor="text1"/>
          <w:sz w:val="32"/>
          <w:szCs w:val="32"/>
          <w:highlight w:val="none"/>
        </w:rPr>
        <w:t>。</w:t>
      </w:r>
    </w:p>
    <w:p>
      <w:pPr>
        <w:spacing w:line="540" w:lineRule="exact"/>
        <w:ind w:firstLine="640" w:firstLineChars="200"/>
        <w:rPr>
          <w:rFonts w:ascii="仿宋_GB2312" w:eastAsia="仿宋_GB2312"/>
          <w:color w:val="000000" w:themeColor="text1"/>
          <w:sz w:val="32"/>
          <w:szCs w:val="32"/>
          <w:highlight w:val="none"/>
        </w:rPr>
      </w:pPr>
      <w:bookmarkStart w:id="49" w:name="OLE_LINK71"/>
      <w:bookmarkStart w:id="50" w:name="OLE_LINK72"/>
      <w:r>
        <w:rPr>
          <w:rFonts w:hint="eastAsia" w:ascii="仿宋_GB2312" w:eastAsia="仿宋_GB2312"/>
          <w:color w:val="000000" w:themeColor="text1"/>
          <w:sz w:val="32"/>
          <w:szCs w:val="32"/>
          <w:highlight w:val="none"/>
        </w:rPr>
        <w:t>与年初预算数相比情况：政府性基金预算财政拨款收入年初预算数0万元，决算数</w:t>
      </w:r>
      <w:r>
        <w:rPr>
          <w:rFonts w:ascii="仿宋_GB2312" w:eastAsia="仿宋_GB2312"/>
          <w:color w:val="000000" w:themeColor="text1"/>
          <w:sz w:val="32"/>
          <w:szCs w:val="32"/>
          <w:highlight w:val="none"/>
        </w:rPr>
        <w:t>0</w:t>
      </w:r>
      <w:r>
        <w:rPr>
          <w:rFonts w:hint="eastAsia" w:ascii="仿宋_GB2312" w:eastAsia="仿宋_GB2312"/>
          <w:color w:val="000000" w:themeColor="text1"/>
          <w:sz w:val="32"/>
          <w:szCs w:val="32"/>
          <w:highlight w:val="none"/>
        </w:rPr>
        <w:t>万元</w:t>
      </w:r>
      <w:r>
        <w:rPr>
          <w:rFonts w:ascii="仿宋_GB2312" w:eastAsia="仿宋_GB2312"/>
          <w:color w:val="000000" w:themeColor="text1"/>
          <w:sz w:val="32"/>
          <w:szCs w:val="32"/>
          <w:highlight w:val="none"/>
        </w:rPr>
        <w:t>，预决算差异率0%，差异主要原因是</w:t>
      </w:r>
      <w:r>
        <w:rPr>
          <w:rFonts w:hint="eastAsia" w:ascii="仿宋_GB2312" w:eastAsia="仿宋_GB2312"/>
          <w:sz w:val="32"/>
          <w:szCs w:val="32"/>
          <w:highlight w:val="none"/>
        </w:rPr>
        <w:t>无政府性基金收支</w:t>
      </w:r>
      <w:r>
        <w:rPr>
          <w:rFonts w:ascii="仿宋_GB2312" w:eastAsia="仿宋_GB2312"/>
          <w:color w:val="000000" w:themeColor="text1"/>
          <w:sz w:val="32"/>
          <w:szCs w:val="32"/>
          <w:highlight w:val="none"/>
        </w:rPr>
        <w:t>。</w:t>
      </w:r>
      <w:bookmarkEnd w:id="49"/>
      <w:bookmarkEnd w:id="50"/>
      <w:bookmarkStart w:id="51" w:name="OLE_LINK73"/>
      <w:r>
        <w:rPr>
          <w:rFonts w:hint="eastAsia" w:ascii="仿宋_GB2312" w:eastAsia="仿宋_GB2312"/>
          <w:color w:val="000000" w:themeColor="text1"/>
          <w:sz w:val="32"/>
          <w:szCs w:val="32"/>
          <w:highlight w:val="none"/>
        </w:rPr>
        <w:t>政府性基金预算财政拨款支出年初预算数0万元，决算数</w:t>
      </w:r>
      <w:r>
        <w:rPr>
          <w:rFonts w:ascii="仿宋_GB2312" w:eastAsia="仿宋_GB2312"/>
          <w:color w:val="000000" w:themeColor="text1"/>
          <w:sz w:val="32"/>
          <w:szCs w:val="32"/>
          <w:highlight w:val="none"/>
        </w:rPr>
        <w:t>0</w:t>
      </w:r>
      <w:r>
        <w:rPr>
          <w:rFonts w:hint="eastAsia" w:ascii="仿宋_GB2312" w:eastAsia="仿宋_GB2312"/>
          <w:color w:val="000000" w:themeColor="text1"/>
          <w:sz w:val="32"/>
          <w:szCs w:val="32"/>
          <w:highlight w:val="none"/>
        </w:rPr>
        <w:t>万元</w:t>
      </w:r>
      <w:r>
        <w:rPr>
          <w:rFonts w:ascii="仿宋_GB2312" w:eastAsia="仿宋_GB2312"/>
          <w:color w:val="000000" w:themeColor="text1"/>
          <w:sz w:val="32"/>
          <w:szCs w:val="32"/>
          <w:highlight w:val="none"/>
        </w:rPr>
        <w:t>，预决算差异率0%，差异主要原因是</w:t>
      </w:r>
      <w:r>
        <w:rPr>
          <w:rFonts w:hint="eastAsia" w:ascii="仿宋_GB2312" w:eastAsia="仿宋_GB2312"/>
          <w:sz w:val="32"/>
          <w:szCs w:val="32"/>
          <w:highlight w:val="none"/>
        </w:rPr>
        <w:t>无政府性基金收支</w:t>
      </w:r>
      <w:r>
        <w:rPr>
          <w:rFonts w:ascii="仿宋_GB2312" w:eastAsia="仿宋_GB2312"/>
          <w:color w:val="000000" w:themeColor="text1"/>
          <w:sz w:val="32"/>
          <w:szCs w:val="32"/>
          <w:highlight w:val="none"/>
        </w:rPr>
        <w:t>。</w:t>
      </w:r>
      <w:bookmarkEnd w:id="51"/>
    </w:p>
    <w:p>
      <w:pPr>
        <w:spacing w:line="540" w:lineRule="exact"/>
        <w:ind w:firstLine="640" w:firstLineChars="200"/>
        <w:rPr>
          <w:rFonts w:ascii="黑体" w:hAnsi="黑体" w:eastAsia="黑体"/>
          <w:color w:val="000000" w:themeColor="text1"/>
          <w:sz w:val="32"/>
          <w:szCs w:val="32"/>
          <w:highlight w:val="none"/>
        </w:rPr>
      </w:pPr>
      <w:r>
        <w:rPr>
          <w:rFonts w:hint="eastAsia" w:ascii="黑体" w:hAnsi="黑体" w:eastAsia="黑体"/>
          <w:color w:val="000000" w:themeColor="text1"/>
          <w:sz w:val="32"/>
          <w:szCs w:val="32"/>
          <w:highlight w:val="none"/>
        </w:rPr>
        <w:t>三、部门结转结余情况</w:t>
      </w:r>
    </w:p>
    <w:p>
      <w:pPr>
        <w:spacing w:line="540" w:lineRule="exact"/>
        <w:ind w:firstLine="640" w:firstLineChars="200"/>
        <w:rPr>
          <w:rFonts w:ascii="仿宋_GB2312" w:eastAsia="仿宋_GB2312"/>
          <w:color w:val="000000" w:themeColor="text1"/>
          <w:sz w:val="32"/>
          <w:szCs w:val="32"/>
          <w:highlight w:val="none"/>
        </w:rPr>
      </w:pPr>
      <w:bookmarkStart w:id="52" w:name="OLE_LINK25"/>
      <w:bookmarkStart w:id="53" w:name="OLE_LINK26"/>
      <w:r>
        <w:rPr>
          <w:rFonts w:hint="eastAsia" w:ascii="仿宋_GB2312" w:eastAsia="仿宋_GB2312"/>
          <w:color w:val="000000" w:themeColor="text1"/>
          <w:sz w:val="32"/>
          <w:szCs w:val="32"/>
          <w:highlight w:val="none"/>
        </w:rPr>
        <w:t>年末结转结余</w:t>
      </w:r>
      <w:bookmarkEnd w:id="52"/>
      <w:bookmarkEnd w:id="53"/>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。与上年相比，增加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color w:val="000000" w:themeColor="text1"/>
          <w:sz w:val="32"/>
          <w:szCs w:val="32"/>
          <w:highlight w:val="none"/>
        </w:rPr>
        <w:t>。</w:t>
      </w:r>
    </w:p>
    <w:p>
      <w:pPr>
        <w:spacing w:line="540" w:lineRule="exact"/>
        <w:ind w:firstLine="640" w:firstLineChars="200"/>
        <w:rPr>
          <w:rFonts w:ascii="仿宋_GB2312" w:eastAsia="仿宋_GB2312"/>
          <w:sz w:val="32"/>
          <w:szCs w:val="32"/>
          <w:highlight w:val="none"/>
        </w:rPr>
      </w:pPr>
      <w:r>
        <w:rPr>
          <w:rFonts w:hint="eastAsia" w:ascii="仿宋_GB2312" w:eastAsia="仿宋_GB2312"/>
          <w:color w:val="000000" w:themeColor="text1"/>
          <w:sz w:val="32"/>
          <w:szCs w:val="32"/>
          <w:highlight w:val="none"/>
        </w:rPr>
        <w:t>其中</w:t>
      </w:r>
      <w:bookmarkStart w:id="54" w:name="OLE_LINK28"/>
      <w:bookmarkStart w:id="55" w:name="OLE_LINK27"/>
      <w:r>
        <w:rPr>
          <w:rFonts w:hint="eastAsia" w:ascii="仿宋_GB2312" w:eastAsia="仿宋_GB2312"/>
          <w:color w:val="000000" w:themeColor="text1"/>
          <w:sz w:val="32"/>
          <w:szCs w:val="32"/>
          <w:highlight w:val="none"/>
        </w:rPr>
        <w:t>财政拨款结转结余</w:t>
      </w:r>
      <w:bookmarkEnd w:id="54"/>
      <w:bookmarkEnd w:id="55"/>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。与上年相比，增加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color w:val="000000" w:themeColor="text1"/>
          <w:sz w:val="32"/>
          <w:szCs w:val="32"/>
          <w:highlight w:val="none"/>
        </w:rPr>
        <w:t>。</w:t>
      </w:r>
    </w:p>
    <w:p>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四、一般公共预算“三公”经费支出情况</w:t>
      </w:r>
    </w:p>
    <w:p>
      <w:pPr>
        <w:spacing w:line="540" w:lineRule="exact"/>
        <w:ind w:firstLine="640" w:firstLineChars="200"/>
        <w:rPr>
          <w:rFonts w:ascii="仿宋_GB2312" w:eastAsia="仿宋_GB2312"/>
          <w:color w:val="000000" w:themeColor="text1"/>
          <w:sz w:val="32"/>
          <w:szCs w:val="32"/>
          <w:highlight w:val="none"/>
        </w:rPr>
      </w:pPr>
      <w:bookmarkStart w:id="56" w:name="OLE_LINK74"/>
      <w:r>
        <w:rPr>
          <w:rFonts w:hint="eastAsia" w:ascii="仿宋_GB2312" w:eastAsia="仿宋_GB2312"/>
          <w:color w:val="000000" w:themeColor="text1"/>
          <w:sz w:val="32"/>
          <w:szCs w:val="32"/>
          <w:highlight w:val="none"/>
        </w:rPr>
        <w:t>2018年度</w:t>
      </w:r>
      <w:bookmarkStart w:id="57" w:name="OLE_LINK29"/>
      <w:r>
        <w:rPr>
          <w:rFonts w:hint="eastAsia" w:ascii="仿宋_GB2312" w:eastAsia="仿宋_GB2312"/>
          <w:color w:val="000000" w:themeColor="text1"/>
          <w:sz w:val="32"/>
          <w:szCs w:val="32"/>
          <w:highlight w:val="none"/>
        </w:rPr>
        <w:t>一般公共预算“三公”经费支出决算</w:t>
      </w:r>
      <w:bookmarkEnd w:id="57"/>
      <w:r>
        <w:rPr>
          <w:rFonts w:hint="eastAsia" w:ascii="仿宋_GB2312" w:eastAsia="仿宋_GB2312"/>
          <w:sz w:val="32"/>
          <w:szCs w:val="32"/>
          <w:highlight w:val="none"/>
        </w:rPr>
        <w:t>38.49</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，与上年相比，减少0.46万元，下降1.18%，减少的主要原因是：严格按照中央八项规定，精简开支。</w:t>
      </w:r>
      <w:bookmarkEnd w:id="56"/>
      <w:bookmarkStart w:id="58" w:name="OLE_LINK75"/>
      <w:r>
        <w:rPr>
          <w:rFonts w:hint="eastAsia" w:ascii="仿宋_GB2312" w:eastAsia="仿宋_GB2312"/>
          <w:color w:val="000000" w:themeColor="text1"/>
          <w:sz w:val="32"/>
          <w:szCs w:val="32"/>
          <w:highlight w:val="none"/>
        </w:rPr>
        <w:t>其中，</w:t>
      </w:r>
      <w:bookmarkStart w:id="59" w:name="OLE_LINK30"/>
      <w:r>
        <w:rPr>
          <w:rFonts w:hint="eastAsia" w:ascii="仿宋_GB2312" w:eastAsia="仿宋_GB2312"/>
          <w:color w:val="000000" w:themeColor="text1"/>
          <w:sz w:val="32"/>
          <w:szCs w:val="32"/>
          <w:highlight w:val="none"/>
        </w:rPr>
        <w:t>因公出国（境）费支出</w:t>
      </w:r>
      <w:bookmarkEnd w:id="59"/>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%，主要原因是：本单位无此项预算安排；</w:t>
      </w:r>
      <w:bookmarkEnd w:id="58"/>
      <w:bookmarkStart w:id="60" w:name="OLE_LINK31"/>
      <w:bookmarkStart w:id="61" w:name="OLE_LINK76"/>
      <w:r>
        <w:rPr>
          <w:rFonts w:hint="eastAsia" w:ascii="仿宋_GB2312" w:eastAsia="仿宋_GB2312"/>
          <w:color w:val="000000" w:themeColor="text1"/>
          <w:sz w:val="32"/>
          <w:szCs w:val="32"/>
          <w:highlight w:val="none"/>
        </w:rPr>
        <w:t>公务用车购置及运行维护费支出</w:t>
      </w:r>
      <w:bookmarkEnd w:id="60"/>
      <w:r>
        <w:rPr>
          <w:rFonts w:hint="eastAsia" w:ascii="仿宋_GB2312" w:eastAsia="仿宋_GB2312"/>
          <w:sz w:val="32"/>
          <w:szCs w:val="32"/>
          <w:highlight w:val="none"/>
        </w:rPr>
        <w:t>38.49</w:t>
      </w:r>
      <w:r>
        <w:rPr>
          <w:rFonts w:hint="eastAsia" w:ascii="仿宋_GB2312" w:eastAsia="仿宋_GB2312"/>
          <w:color w:val="000000" w:themeColor="text1"/>
          <w:sz w:val="32"/>
          <w:szCs w:val="32"/>
          <w:highlight w:val="none"/>
        </w:rPr>
        <w:t>万元，占</w:t>
      </w:r>
      <w:r>
        <w:rPr>
          <w:rFonts w:hint="eastAsia" w:ascii="仿宋_GB2312" w:eastAsia="仿宋_GB2312"/>
          <w:sz w:val="32"/>
          <w:szCs w:val="32"/>
          <w:highlight w:val="none"/>
        </w:rPr>
        <w:t>100%，与上年相比，减少0.46万元，下降1.18%，减少的主要原因是：严格按照中央八项规定，精简开支；</w:t>
      </w:r>
      <w:bookmarkEnd w:id="61"/>
      <w:bookmarkStart w:id="62" w:name="OLE_LINK32"/>
      <w:bookmarkStart w:id="63" w:name="OLE_LINK78"/>
      <w:bookmarkStart w:id="64" w:name="OLE_LINK77"/>
      <w:r>
        <w:rPr>
          <w:rFonts w:hint="eastAsia" w:ascii="仿宋_GB2312" w:eastAsia="仿宋_GB2312"/>
          <w:color w:val="000000" w:themeColor="text1"/>
          <w:sz w:val="32"/>
          <w:szCs w:val="32"/>
          <w:highlight w:val="none"/>
        </w:rPr>
        <w:t>公务接待费支出</w:t>
      </w:r>
      <w:bookmarkEnd w:id="62"/>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%，主要原因是：本单位无此项预算安排。</w:t>
      </w:r>
      <w:bookmarkEnd w:id="63"/>
      <w:bookmarkEnd w:id="64"/>
      <w:r>
        <w:rPr>
          <w:rFonts w:hint="eastAsia" w:ascii="仿宋_GB2312" w:eastAsia="仿宋_GB2312"/>
          <w:color w:val="000000" w:themeColor="text1"/>
          <w:sz w:val="32"/>
          <w:szCs w:val="32"/>
          <w:highlight w:val="none"/>
        </w:rPr>
        <w:t>具体情况如下：</w:t>
      </w:r>
    </w:p>
    <w:p>
      <w:pPr>
        <w:spacing w:line="540" w:lineRule="exact"/>
        <w:ind w:firstLine="640" w:firstLineChars="200"/>
        <w:rPr>
          <w:rFonts w:ascii="仿宋_GB2312" w:eastAsia="仿宋_GB2312"/>
          <w:color w:val="000000" w:themeColor="text1"/>
          <w:sz w:val="32"/>
          <w:szCs w:val="32"/>
          <w:highlight w:val="none"/>
        </w:rPr>
      </w:pPr>
      <w:bookmarkStart w:id="65" w:name="OLE_LINK80"/>
      <w:bookmarkStart w:id="66" w:name="OLE_LINK79"/>
      <w:r>
        <w:rPr>
          <w:rFonts w:hint="eastAsia" w:ascii="仿宋_GB2312" w:eastAsia="仿宋_GB2312"/>
          <w:color w:val="000000" w:themeColor="text1"/>
          <w:sz w:val="32"/>
          <w:szCs w:val="32"/>
          <w:highlight w:val="none"/>
        </w:rPr>
        <w:t>因公出国（境）费支出</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新疆喀什地区英吉沙县人民检察院</w:t>
      </w:r>
      <w:r>
        <w:rPr>
          <w:rFonts w:hint="eastAsia" w:ascii="仿宋_GB2312" w:eastAsia="仿宋_GB2312"/>
          <w:color w:val="000000" w:themeColor="text1"/>
          <w:sz w:val="32"/>
          <w:szCs w:val="32"/>
          <w:highlight w:val="none"/>
        </w:rPr>
        <w:t>单位</w:t>
      </w:r>
      <w:bookmarkStart w:id="67" w:name="OLE_LINK33"/>
      <w:r>
        <w:rPr>
          <w:rFonts w:hint="eastAsia" w:ascii="仿宋_GB2312" w:eastAsia="仿宋_GB2312"/>
          <w:color w:val="000000" w:themeColor="text1"/>
          <w:sz w:val="32"/>
          <w:szCs w:val="32"/>
          <w:highlight w:val="none"/>
        </w:rPr>
        <w:t>全年</w:t>
      </w:r>
      <w:bookmarkStart w:id="68" w:name="OLE_LINK34"/>
      <w:bookmarkStart w:id="69" w:name="OLE_LINK35"/>
      <w:bookmarkStart w:id="70" w:name="OLE_LINK36"/>
      <w:r>
        <w:rPr>
          <w:rFonts w:hint="eastAsia" w:ascii="仿宋_GB2312" w:eastAsia="仿宋_GB2312"/>
          <w:color w:val="000000" w:themeColor="text1"/>
          <w:sz w:val="32"/>
          <w:szCs w:val="32"/>
          <w:highlight w:val="none"/>
        </w:rPr>
        <w:t>使用一般公共预算财政拨款安排的出国（境）团组</w:t>
      </w:r>
      <w:bookmarkEnd w:id="67"/>
      <w:bookmarkEnd w:id="68"/>
      <w:bookmarkEnd w:id="69"/>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个</w:t>
      </w:r>
      <w:bookmarkEnd w:id="70"/>
      <w:r>
        <w:rPr>
          <w:rFonts w:hint="eastAsia" w:ascii="仿宋_GB2312" w:eastAsia="仿宋_GB2312"/>
          <w:color w:val="000000" w:themeColor="text1"/>
          <w:sz w:val="32"/>
          <w:szCs w:val="32"/>
          <w:highlight w:val="none"/>
        </w:rPr>
        <w:t>，</w:t>
      </w:r>
      <w:bookmarkStart w:id="71" w:name="OLE_LINK37"/>
      <w:r>
        <w:rPr>
          <w:rFonts w:hint="eastAsia" w:ascii="仿宋_GB2312" w:eastAsia="仿宋_GB2312"/>
          <w:color w:val="000000" w:themeColor="text1"/>
          <w:sz w:val="32"/>
          <w:szCs w:val="32"/>
          <w:highlight w:val="none"/>
        </w:rPr>
        <w:t>累计</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人次</w:t>
      </w:r>
      <w:bookmarkEnd w:id="71"/>
      <w:r>
        <w:rPr>
          <w:rFonts w:hint="eastAsia" w:ascii="仿宋_GB2312" w:eastAsia="仿宋_GB2312"/>
          <w:color w:val="000000" w:themeColor="text1"/>
          <w:sz w:val="32"/>
          <w:szCs w:val="32"/>
          <w:highlight w:val="none"/>
        </w:rPr>
        <w:t>。</w:t>
      </w:r>
      <w:bookmarkStart w:id="72" w:name="OLE_LINK38"/>
      <w:r>
        <w:rPr>
          <w:rFonts w:hint="eastAsia" w:ascii="仿宋_GB2312" w:eastAsia="仿宋_GB2312"/>
          <w:color w:val="000000" w:themeColor="text1"/>
          <w:sz w:val="32"/>
          <w:szCs w:val="32"/>
          <w:highlight w:val="none"/>
        </w:rPr>
        <w:t>开支内容包括：</w:t>
      </w:r>
      <w:r>
        <w:rPr>
          <w:rFonts w:ascii="仿宋_GB2312" w:eastAsia="仿宋_GB2312"/>
          <w:color w:val="000000" w:themeColor="text1"/>
          <w:sz w:val="32"/>
          <w:szCs w:val="32"/>
          <w:highlight w:val="none"/>
        </w:rPr>
        <w:t>本单位无此项预算安排。</w:t>
      </w:r>
      <w:bookmarkEnd w:id="65"/>
      <w:bookmarkEnd w:id="66"/>
      <w:bookmarkEnd w:id="72"/>
    </w:p>
    <w:p>
      <w:pPr>
        <w:spacing w:line="540" w:lineRule="exact"/>
        <w:ind w:firstLine="640" w:firstLineChars="200"/>
        <w:rPr>
          <w:rFonts w:ascii="仿宋_GB2312" w:eastAsia="仿宋_GB2312"/>
          <w:color w:val="000000" w:themeColor="text1"/>
          <w:sz w:val="32"/>
          <w:szCs w:val="32"/>
          <w:highlight w:val="none"/>
        </w:rPr>
      </w:pPr>
      <w:bookmarkStart w:id="73" w:name="OLE_LINK81"/>
      <w:r>
        <w:rPr>
          <w:rFonts w:hint="eastAsia" w:ascii="仿宋_GB2312" w:eastAsia="仿宋_GB2312"/>
          <w:color w:val="000000" w:themeColor="text1"/>
          <w:sz w:val="32"/>
          <w:szCs w:val="32"/>
          <w:highlight w:val="none"/>
        </w:rPr>
        <w:t>公务用车购置及运行维护费</w:t>
      </w:r>
      <w:r>
        <w:rPr>
          <w:rFonts w:hint="eastAsia" w:ascii="仿宋_GB2312" w:eastAsia="仿宋_GB2312"/>
          <w:sz w:val="32"/>
          <w:szCs w:val="32"/>
          <w:highlight w:val="none"/>
        </w:rPr>
        <w:t>38.49</w:t>
      </w:r>
      <w:r>
        <w:rPr>
          <w:rFonts w:hint="eastAsia" w:ascii="仿宋_GB2312" w:eastAsia="仿宋_GB2312"/>
          <w:color w:val="000000" w:themeColor="text1"/>
          <w:sz w:val="32"/>
          <w:szCs w:val="32"/>
          <w:highlight w:val="none"/>
        </w:rPr>
        <w:t>万元,其中，</w:t>
      </w:r>
      <w:bookmarkStart w:id="74" w:name="OLE_LINK39"/>
      <w:r>
        <w:rPr>
          <w:rFonts w:hint="eastAsia" w:ascii="仿宋_GB2312" w:eastAsia="仿宋_GB2312"/>
          <w:color w:val="000000" w:themeColor="text1"/>
          <w:sz w:val="32"/>
          <w:szCs w:val="32"/>
          <w:highlight w:val="none"/>
        </w:rPr>
        <w:t>公务用车购置</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w:t>
      </w:r>
      <w:bookmarkEnd w:id="74"/>
      <w:r>
        <w:rPr>
          <w:rFonts w:hint="eastAsia" w:ascii="仿宋_GB2312" w:eastAsia="仿宋_GB2312"/>
          <w:color w:val="000000" w:themeColor="text1"/>
          <w:sz w:val="32"/>
          <w:szCs w:val="32"/>
          <w:highlight w:val="none"/>
        </w:rPr>
        <w:t>，</w:t>
      </w:r>
      <w:bookmarkStart w:id="75" w:name="OLE_LINK41"/>
      <w:bookmarkStart w:id="76" w:name="OLE_LINK40"/>
      <w:r>
        <w:rPr>
          <w:rFonts w:hint="eastAsia" w:ascii="仿宋_GB2312" w:eastAsia="仿宋_GB2312"/>
          <w:color w:val="000000" w:themeColor="text1"/>
          <w:sz w:val="32"/>
          <w:szCs w:val="32"/>
          <w:highlight w:val="none"/>
        </w:rPr>
        <w:t>公务用车运行维护费</w:t>
      </w:r>
      <w:r>
        <w:rPr>
          <w:rFonts w:hint="eastAsia" w:ascii="仿宋_GB2312" w:eastAsia="仿宋_GB2312"/>
          <w:sz w:val="32"/>
          <w:szCs w:val="32"/>
          <w:highlight w:val="none"/>
        </w:rPr>
        <w:t>38.49</w:t>
      </w:r>
      <w:r>
        <w:rPr>
          <w:rFonts w:hint="eastAsia" w:ascii="仿宋_GB2312" w:eastAsia="仿宋_GB2312"/>
          <w:color w:val="000000" w:themeColor="text1"/>
          <w:sz w:val="32"/>
          <w:szCs w:val="32"/>
          <w:highlight w:val="none"/>
        </w:rPr>
        <w:t>万元</w:t>
      </w:r>
      <w:bookmarkEnd w:id="75"/>
      <w:bookmarkEnd w:id="76"/>
      <w:r>
        <w:rPr>
          <w:rFonts w:hint="eastAsia" w:ascii="仿宋_GB2312" w:eastAsia="仿宋_GB2312"/>
          <w:color w:val="000000" w:themeColor="text1"/>
          <w:sz w:val="32"/>
          <w:szCs w:val="32"/>
          <w:highlight w:val="none"/>
        </w:rPr>
        <w:t>。主要用于</w:t>
      </w:r>
      <w:r>
        <w:rPr>
          <w:rFonts w:hint="eastAsia" w:ascii="仿宋_GB2312" w:eastAsia="仿宋_GB2312"/>
          <w:sz w:val="32"/>
          <w:szCs w:val="32"/>
          <w:highlight w:val="none"/>
        </w:rPr>
        <w:t>车辆维修、维护、燃油</w:t>
      </w:r>
      <w:r>
        <w:rPr>
          <w:rFonts w:hint="eastAsia" w:ascii="仿宋_GB2312" w:eastAsia="仿宋_GB2312"/>
          <w:color w:val="000000" w:themeColor="text1"/>
          <w:sz w:val="32"/>
          <w:szCs w:val="32"/>
          <w:highlight w:val="none"/>
        </w:rPr>
        <w:t>等。</w:t>
      </w:r>
      <w:bookmarkEnd w:id="73"/>
      <w:bookmarkStart w:id="77" w:name="OLE_LINK82"/>
      <w:r>
        <w:rPr>
          <w:rFonts w:hint="eastAsia" w:ascii="仿宋_GB2312" w:eastAsia="仿宋_GB2312"/>
          <w:color w:val="000000" w:themeColor="text1"/>
          <w:sz w:val="32"/>
          <w:szCs w:val="32"/>
          <w:highlight w:val="none"/>
        </w:rPr>
        <w:t>单位一般公共财政拨款安排的公务用车购置量</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辆，保有量为</w:t>
      </w:r>
      <w:r>
        <w:rPr>
          <w:rFonts w:hint="eastAsia" w:ascii="仿宋_GB2312" w:eastAsia="仿宋_GB2312"/>
          <w:sz w:val="32"/>
          <w:szCs w:val="32"/>
          <w:highlight w:val="none"/>
        </w:rPr>
        <w:t>9</w:t>
      </w:r>
      <w:r>
        <w:rPr>
          <w:rFonts w:hint="eastAsia" w:ascii="仿宋_GB2312" w:eastAsia="仿宋_GB2312"/>
          <w:color w:val="000000" w:themeColor="text1"/>
          <w:sz w:val="32"/>
          <w:szCs w:val="32"/>
          <w:highlight w:val="none"/>
        </w:rPr>
        <w:t>辆。</w:t>
      </w:r>
      <w:bookmarkEnd w:id="77"/>
    </w:p>
    <w:p>
      <w:pPr>
        <w:spacing w:line="540" w:lineRule="exact"/>
        <w:ind w:firstLine="640" w:firstLineChars="200"/>
        <w:rPr>
          <w:rFonts w:ascii="仿宋_GB2312" w:eastAsia="仿宋_GB2312"/>
          <w:color w:val="000000" w:themeColor="text1"/>
          <w:sz w:val="32"/>
          <w:szCs w:val="32"/>
          <w:highlight w:val="none"/>
        </w:rPr>
      </w:pPr>
      <w:bookmarkStart w:id="78" w:name="OLE_LINK83"/>
      <w:r>
        <w:rPr>
          <w:rFonts w:hint="eastAsia" w:ascii="仿宋_GB2312" w:eastAsia="仿宋_GB2312"/>
          <w:color w:val="000000" w:themeColor="text1"/>
          <w:sz w:val="32"/>
          <w:szCs w:val="32"/>
          <w:highlight w:val="none"/>
        </w:rPr>
        <w:t>公务接待费</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万元。具体是：国内公务接待支出</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万元，主要是</w:t>
      </w:r>
      <w:r>
        <w:rPr>
          <w:rFonts w:hint="eastAsia" w:ascii="仿宋_GB2312" w:eastAsia="仿宋_GB2312"/>
          <w:sz w:val="32"/>
          <w:szCs w:val="32"/>
          <w:highlight w:val="none"/>
        </w:rPr>
        <w:t>本单位无此项预算安排</w:t>
      </w:r>
      <w:r>
        <w:rPr>
          <w:rFonts w:hint="eastAsia" w:ascii="仿宋_GB2312" w:eastAsia="仿宋_GB2312"/>
          <w:color w:val="000000" w:themeColor="text1"/>
          <w:sz w:val="32"/>
          <w:szCs w:val="32"/>
          <w:highlight w:val="none"/>
        </w:rPr>
        <w:t>等。</w:t>
      </w:r>
      <w:bookmarkEnd w:id="78"/>
      <w:bookmarkStart w:id="79" w:name="OLE_LINK84"/>
      <w:r>
        <w:rPr>
          <w:rFonts w:hint="eastAsia" w:ascii="仿宋_GB2312" w:eastAsia="仿宋_GB2312"/>
          <w:sz w:val="32"/>
          <w:szCs w:val="32"/>
          <w:highlight w:val="none"/>
        </w:rPr>
        <w:t>新疆喀什地区英吉沙县人民检察院</w:t>
      </w:r>
      <w:r>
        <w:rPr>
          <w:rFonts w:hint="eastAsia" w:ascii="仿宋_GB2312" w:eastAsia="仿宋_GB2312"/>
          <w:color w:val="000000" w:themeColor="text1"/>
          <w:sz w:val="32"/>
          <w:szCs w:val="32"/>
          <w:highlight w:val="none"/>
        </w:rPr>
        <w:t>单位国内公务接待</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批次，</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人次。</w:t>
      </w:r>
      <w:bookmarkEnd w:id="79"/>
    </w:p>
    <w:p>
      <w:pPr>
        <w:spacing w:line="540" w:lineRule="exact"/>
        <w:ind w:firstLine="640" w:firstLineChars="200"/>
        <w:rPr>
          <w:rFonts w:ascii="仿宋_GB2312" w:hAnsi="宋体" w:eastAsia="仿宋_GB2312" w:cs="宋体"/>
          <w:color w:val="000000" w:themeColor="text1"/>
          <w:kern w:val="0"/>
          <w:sz w:val="32"/>
          <w:szCs w:val="32"/>
          <w:highlight w:val="none"/>
        </w:rPr>
      </w:pPr>
      <w:bookmarkStart w:id="80" w:name="OLE_LINK85"/>
      <w:r>
        <w:rPr>
          <w:rFonts w:hint="eastAsia" w:ascii="仿宋_GB2312" w:eastAsia="仿宋_GB2312"/>
          <w:color w:val="000000" w:themeColor="text1"/>
          <w:sz w:val="32"/>
          <w:szCs w:val="32"/>
          <w:highlight w:val="none"/>
        </w:rPr>
        <w:t>与年初预算数相比情况：一般公共预算“三公”经费支出年初预算数</w:t>
      </w:r>
      <w:r>
        <w:rPr>
          <w:rFonts w:ascii="仿宋_GB2312" w:eastAsia="仿宋_GB2312"/>
          <w:color w:val="000000" w:themeColor="text1"/>
          <w:sz w:val="32"/>
          <w:szCs w:val="32"/>
          <w:highlight w:val="none"/>
        </w:rPr>
        <w:t>38.49</w:t>
      </w:r>
      <w:r>
        <w:rPr>
          <w:rFonts w:hint="eastAsia" w:ascii="仿宋_GB2312" w:eastAsia="仿宋_GB2312"/>
          <w:color w:val="000000" w:themeColor="text1"/>
          <w:sz w:val="32"/>
          <w:szCs w:val="32"/>
          <w:highlight w:val="none"/>
        </w:rPr>
        <w:t>万元，决算数38.49万元</w:t>
      </w:r>
      <w:r>
        <w:rPr>
          <w:rFonts w:ascii="仿宋_GB2312" w:eastAsia="仿宋_GB2312"/>
          <w:color w:val="000000" w:themeColor="text1"/>
          <w:sz w:val="32"/>
          <w:szCs w:val="32"/>
          <w:highlight w:val="none"/>
        </w:rPr>
        <w:t>，预决算差异率0%，差异主要原因是严格按照预算执行，精简开支。</w:t>
      </w:r>
      <w:bookmarkEnd w:id="80"/>
      <w:bookmarkStart w:id="81" w:name="OLE_LINK87"/>
      <w:bookmarkStart w:id="82" w:name="OLE_LINK86"/>
      <w:r>
        <w:rPr>
          <w:rFonts w:hint="eastAsia" w:ascii="仿宋_GB2312" w:hAnsi="宋体" w:eastAsia="仿宋_GB2312" w:cs="宋体"/>
          <w:color w:val="000000" w:themeColor="text1"/>
          <w:kern w:val="0"/>
          <w:sz w:val="32"/>
          <w:szCs w:val="32"/>
          <w:highlight w:val="none"/>
        </w:rPr>
        <w:t>其中：因公出国（境）费</w:t>
      </w:r>
      <w:r>
        <w:rPr>
          <w:rFonts w:hint="eastAsia" w:ascii="仿宋_GB2312" w:eastAsia="仿宋_GB2312"/>
          <w:color w:val="000000" w:themeColor="text1"/>
          <w:sz w:val="32"/>
          <w:szCs w:val="32"/>
          <w:highlight w:val="none"/>
        </w:rPr>
        <w:t>预算数</w:t>
      </w:r>
      <w:r>
        <w:rPr>
          <w:rFonts w:ascii="仿宋_GB2312" w:eastAsia="仿宋_GB2312"/>
          <w:color w:val="000000" w:themeColor="text1"/>
          <w:sz w:val="32"/>
          <w:szCs w:val="32"/>
          <w:highlight w:val="none"/>
        </w:rPr>
        <w:t>0</w:t>
      </w:r>
      <w:r>
        <w:rPr>
          <w:rFonts w:hint="eastAsia" w:ascii="仿宋_GB2312" w:eastAsia="仿宋_GB2312"/>
          <w:color w:val="000000" w:themeColor="text1"/>
          <w:sz w:val="32"/>
          <w:szCs w:val="32"/>
          <w:highlight w:val="none"/>
        </w:rPr>
        <w:t>万元，决算数0万元</w:t>
      </w:r>
      <w:r>
        <w:rPr>
          <w:rFonts w:ascii="仿宋_GB2312" w:eastAsia="仿宋_GB2312"/>
          <w:color w:val="000000" w:themeColor="text1"/>
          <w:sz w:val="32"/>
          <w:szCs w:val="32"/>
          <w:highlight w:val="none"/>
        </w:rPr>
        <w:t>，预决算差异率0%，差异主要原因是本单位无此项预算安排；</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highlight w:val="none"/>
        </w:rPr>
        <w:t>公务用车购置</w:t>
      </w:r>
      <w:r>
        <w:rPr>
          <w:rFonts w:hint="eastAsia" w:ascii="仿宋_GB2312" w:eastAsia="仿宋_GB2312"/>
          <w:color w:val="000000" w:themeColor="text1"/>
          <w:sz w:val="32"/>
          <w:szCs w:val="32"/>
          <w:highlight w:val="none"/>
        </w:rPr>
        <w:t>预算数</w:t>
      </w:r>
      <w:r>
        <w:rPr>
          <w:rFonts w:ascii="仿宋_GB2312" w:eastAsia="仿宋_GB2312"/>
          <w:color w:val="000000" w:themeColor="text1"/>
          <w:sz w:val="32"/>
          <w:szCs w:val="32"/>
          <w:highlight w:val="none"/>
        </w:rPr>
        <w:t>0</w:t>
      </w:r>
      <w:r>
        <w:rPr>
          <w:rFonts w:hint="eastAsia" w:ascii="仿宋_GB2312" w:eastAsia="仿宋_GB2312"/>
          <w:color w:val="000000" w:themeColor="text1"/>
          <w:sz w:val="32"/>
          <w:szCs w:val="32"/>
          <w:highlight w:val="none"/>
        </w:rPr>
        <w:t>万元，决算数</w:t>
      </w:r>
      <w:r>
        <w:rPr>
          <w:rFonts w:ascii="仿宋_GB2312" w:eastAsia="仿宋_GB2312"/>
          <w:color w:val="000000" w:themeColor="text1"/>
          <w:sz w:val="32"/>
          <w:szCs w:val="32"/>
          <w:highlight w:val="none"/>
        </w:rPr>
        <w:t>0</w:t>
      </w:r>
      <w:r>
        <w:rPr>
          <w:rFonts w:hint="eastAsia" w:ascii="仿宋_GB2312" w:eastAsia="仿宋_GB2312"/>
          <w:color w:val="000000" w:themeColor="text1"/>
          <w:sz w:val="32"/>
          <w:szCs w:val="32"/>
          <w:highlight w:val="none"/>
        </w:rPr>
        <w:t>万元</w:t>
      </w:r>
      <w:r>
        <w:rPr>
          <w:rFonts w:ascii="仿宋_GB2312" w:eastAsia="仿宋_GB2312"/>
          <w:color w:val="000000" w:themeColor="text1"/>
          <w:sz w:val="32"/>
          <w:szCs w:val="32"/>
          <w:highlight w:val="none"/>
        </w:rPr>
        <w:t>，预决算差异率0%，差异主要原因是本单位无此项预算安排；</w:t>
      </w:r>
      <w:bookmarkEnd w:id="83"/>
      <w:bookmarkEnd w:id="84"/>
      <w:bookmarkStart w:id="85" w:name="OLE_LINK90"/>
      <w:r>
        <w:rPr>
          <w:rFonts w:hint="eastAsia" w:ascii="仿宋_GB2312" w:hAnsi="宋体" w:eastAsia="仿宋_GB2312" w:cs="宋体"/>
          <w:color w:val="000000" w:themeColor="text1"/>
          <w:kern w:val="0"/>
          <w:sz w:val="32"/>
          <w:szCs w:val="32"/>
          <w:highlight w:val="none"/>
        </w:rPr>
        <w:t>公务用车运行费</w:t>
      </w:r>
      <w:r>
        <w:rPr>
          <w:rFonts w:hint="eastAsia" w:ascii="仿宋_GB2312" w:eastAsia="仿宋_GB2312"/>
          <w:color w:val="000000" w:themeColor="text1"/>
          <w:sz w:val="32"/>
          <w:szCs w:val="32"/>
          <w:highlight w:val="none"/>
        </w:rPr>
        <w:t>预算数</w:t>
      </w:r>
      <w:r>
        <w:rPr>
          <w:rFonts w:ascii="仿宋_GB2312" w:eastAsia="仿宋_GB2312"/>
          <w:color w:val="000000" w:themeColor="text1"/>
          <w:sz w:val="32"/>
          <w:szCs w:val="32"/>
          <w:highlight w:val="none"/>
        </w:rPr>
        <w:t>38.49</w:t>
      </w:r>
      <w:r>
        <w:rPr>
          <w:rFonts w:hint="eastAsia" w:ascii="仿宋_GB2312" w:eastAsia="仿宋_GB2312"/>
          <w:color w:val="000000" w:themeColor="text1"/>
          <w:sz w:val="32"/>
          <w:szCs w:val="32"/>
          <w:highlight w:val="none"/>
        </w:rPr>
        <w:t>万元，决算数</w:t>
      </w:r>
      <w:r>
        <w:rPr>
          <w:rFonts w:ascii="仿宋_GB2312" w:eastAsia="仿宋_GB2312"/>
          <w:color w:val="000000" w:themeColor="text1"/>
          <w:sz w:val="32"/>
          <w:szCs w:val="32"/>
          <w:highlight w:val="none"/>
        </w:rPr>
        <w:t>38.49</w:t>
      </w:r>
      <w:r>
        <w:rPr>
          <w:rFonts w:hint="eastAsia" w:ascii="仿宋_GB2312" w:eastAsia="仿宋_GB2312"/>
          <w:color w:val="000000" w:themeColor="text1"/>
          <w:sz w:val="32"/>
          <w:szCs w:val="32"/>
          <w:highlight w:val="none"/>
        </w:rPr>
        <w:t>万元</w:t>
      </w:r>
      <w:r>
        <w:rPr>
          <w:rFonts w:ascii="仿宋_GB2312" w:eastAsia="仿宋_GB2312"/>
          <w:color w:val="000000" w:themeColor="text1"/>
          <w:sz w:val="32"/>
          <w:szCs w:val="32"/>
          <w:highlight w:val="none"/>
        </w:rPr>
        <w:t>，预决算差异率0%，差异主要原因是严格按照预算执行，精简开支；</w:t>
      </w:r>
      <w:bookmarkEnd w:id="85"/>
      <w:bookmarkStart w:id="86" w:name="OLE_LINK91"/>
      <w:r>
        <w:rPr>
          <w:rFonts w:hint="eastAsia" w:ascii="仿宋_GB2312" w:hAnsi="宋体" w:eastAsia="仿宋_GB2312" w:cs="宋体"/>
          <w:color w:val="000000" w:themeColor="text1"/>
          <w:kern w:val="0"/>
          <w:sz w:val="32"/>
          <w:szCs w:val="32"/>
          <w:highlight w:val="none"/>
        </w:rPr>
        <w:t>公务接待费</w:t>
      </w:r>
      <w:r>
        <w:rPr>
          <w:rFonts w:hint="eastAsia" w:ascii="仿宋_GB2312" w:eastAsia="仿宋_GB2312"/>
          <w:color w:val="000000" w:themeColor="text1"/>
          <w:sz w:val="32"/>
          <w:szCs w:val="32"/>
          <w:highlight w:val="none"/>
        </w:rPr>
        <w:t>预算数</w:t>
      </w:r>
      <w:r>
        <w:rPr>
          <w:rFonts w:ascii="仿宋_GB2312" w:eastAsia="仿宋_GB2312"/>
          <w:color w:val="000000" w:themeColor="text1"/>
          <w:sz w:val="32"/>
          <w:szCs w:val="32"/>
          <w:highlight w:val="none"/>
        </w:rPr>
        <w:t>0</w:t>
      </w:r>
      <w:r>
        <w:rPr>
          <w:rFonts w:hint="eastAsia" w:ascii="仿宋_GB2312" w:eastAsia="仿宋_GB2312"/>
          <w:color w:val="000000" w:themeColor="text1"/>
          <w:sz w:val="32"/>
          <w:szCs w:val="32"/>
          <w:highlight w:val="none"/>
        </w:rPr>
        <w:t>万元，决算数0万元</w:t>
      </w:r>
      <w:r>
        <w:rPr>
          <w:rFonts w:ascii="仿宋_GB2312" w:eastAsia="仿宋_GB2312"/>
          <w:color w:val="000000" w:themeColor="text1"/>
          <w:sz w:val="32"/>
          <w:szCs w:val="32"/>
          <w:highlight w:val="none"/>
        </w:rPr>
        <w:t>，预决算差异率0%，差异主要原因是</w:t>
      </w:r>
      <w:bookmarkEnd w:id="86"/>
      <w:r>
        <w:rPr>
          <w:rFonts w:ascii="仿宋_GB2312" w:eastAsia="仿宋_GB2312"/>
          <w:color w:val="000000" w:themeColor="text1"/>
          <w:sz w:val="32"/>
          <w:szCs w:val="32"/>
          <w:highlight w:val="none"/>
        </w:rPr>
        <w:t>本单位无此项预算安排。</w:t>
      </w:r>
    </w:p>
    <w:p>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五、机关运行经费支出情况</w:t>
      </w:r>
    </w:p>
    <w:p>
      <w:pPr>
        <w:spacing w:line="540" w:lineRule="exact"/>
        <w:ind w:firstLine="640" w:firstLineChars="200"/>
        <w:rPr>
          <w:rFonts w:ascii="仿宋_GB2312" w:eastAsia="仿宋_GB2312"/>
          <w:color w:val="000000" w:themeColor="text1"/>
          <w:sz w:val="32"/>
          <w:szCs w:val="32"/>
          <w:highlight w:val="none"/>
        </w:rPr>
      </w:pPr>
      <w:r>
        <w:rPr>
          <w:rFonts w:hint="eastAsia" w:ascii="仿宋_GB2312" w:eastAsia="仿宋_GB2312"/>
          <w:color w:val="000000" w:themeColor="text1"/>
          <w:sz w:val="32"/>
          <w:szCs w:val="32"/>
          <w:highlight w:val="none"/>
        </w:rPr>
        <w:t>2018年度新疆喀什地区英吉沙县人民检察院机关运行经费支出31.54万元，与上年相比，减少32.46万元，下降50.72%，减少的主要原因是：严格按照中央八项规定，精简开支。</w:t>
      </w:r>
    </w:p>
    <w:p>
      <w:pPr>
        <w:spacing w:line="540" w:lineRule="exact"/>
        <w:ind w:firstLine="640" w:firstLineChars="200"/>
        <w:rPr>
          <w:rFonts w:ascii="黑体" w:hAnsi="黑体" w:eastAsia="黑体"/>
          <w:color w:val="000000" w:themeColor="text1"/>
          <w:sz w:val="32"/>
          <w:szCs w:val="32"/>
          <w:highlight w:val="none"/>
        </w:rPr>
      </w:pPr>
      <w:r>
        <w:rPr>
          <w:rFonts w:hint="eastAsia" w:ascii="黑体" w:hAnsi="黑体" w:eastAsia="黑体"/>
          <w:color w:val="000000" w:themeColor="text1"/>
          <w:sz w:val="32"/>
          <w:szCs w:val="32"/>
          <w:highlight w:val="none"/>
        </w:rPr>
        <w:t>六、政府采购情况</w:t>
      </w:r>
    </w:p>
    <w:p>
      <w:pPr>
        <w:spacing w:line="540" w:lineRule="exact"/>
        <w:ind w:firstLine="640" w:firstLineChars="200"/>
        <w:rPr>
          <w:rFonts w:ascii="仿宋_GB2312" w:eastAsia="仿宋_GB2312"/>
          <w:color w:val="000000" w:themeColor="text1"/>
          <w:sz w:val="32"/>
          <w:szCs w:val="32"/>
          <w:highlight w:val="none"/>
        </w:rPr>
      </w:pPr>
      <w:r>
        <w:rPr>
          <w:rFonts w:hint="eastAsia" w:ascii="仿宋_GB2312" w:eastAsia="仿宋_GB2312"/>
          <w:color w:val="000000" w:themeColor="text1"/>
          <w:sz w:val="32"/>
          <w:szCs w:val="32"/>
          <w:highlight w:val="none"/>
        </w:rPr>
        <w:t>2018年度</w:t>
      </w:r>
      <w:bookmarkStart w:id="87" w:name="OLE_LINK45"/>
      <w:r>
        <w:rPr>
          <w:rFonts w:hint="eastAsia" w:ascii="仿宋_GB2312" w:eastAsia="仿宋_GB2312"/>
          <w:color w:val="000000" w:themeColor="text1"/>
          <w:sz w:val="32"/>
          <w:szCs w:val="32"/>
          <w:highlight w:val="none"/>
        </w:rPr>
        <w:t>政府采购支出总额</w:t>
      </w:r>
      <w:bookmarkEnd w:id="87"/>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万元，其中：</w:t>
      </w:r>
      <w:bookmarkStart w:id="88" w:name="OLE_LINK46"/>
      <w:r>
        <w:rPr>
          <w:rFonts w:hint="eastAsia" w:ascii="仿宋_GB2312" w:eastAsia="仿宋_GB2312"/>
          <w:color w:val="000000" w:themeColor="text1"/>
          <w:sz w:val="32"/>
          <w:szCs w:val="32"/>
          <w:highlight w:val="none"/>
        </w:rPr>
        <w:t>政府采购货物支出</w:t>
      </w:r>
      <w:bookmarkEnd w:id="88"/>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w:t>
      </w:r>
      <w:bookmarkStart w:id="89" w:name="OLE_LINK47"/>
      <w:r>
        <w:rPr>
          <w:rFonts w:hint="eastAsia" w:ascii="仿宋_GB2312" w:eastAsia="仿宋_GB2312"/>
          <w:color w:val="000000" w:themeColor="text1"/>
          <w:sz w:val="32"/>
          <w:szCs w:val="32"/>
          <w:highlight w:val="none"/>
        </w:rPr>
        <w:t>政府采购工程支出</w:t>
      </w:r>
      <w:bookmarkEnd w:id="89"/>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w:t>
      </w:r>
      <w:bookmarkStart w:id="90" w:name="OLE_LINK48"/>
      <w:r>
        <w:rPr>
          <w:rFonts w:hint="eastAsia" w:ascii="仿宋_GB2312" w:eastAsia="仿宋_GB2312"/>
          <w:color w:val="000000" w:themeColor="text1"/>
          <w:sz w:val="32"/>
          <w:szCs w:val="32"/>
          <w:highlight w:val="none"/>
        </w:rPr>
        <w:t>政府采购服务支出</w:t>
      </w:r>
      <w:bookmarkEnd w:id="90"/>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万元。</w:t>
      </w:r>
    </w:p>
    <w:p>
      <w:pPr>
        <w:spacing w:line="540" w:lineRule="exact"/>
        <w:ind w:firstLine="640" w:firstLineChars="200"/>
        <w:rPr>
          <w:rFonts w:ascii="黑体" w:hAnsi="黑体" w:eastAsia="黑体"/>
          <w:color w:val="000000" w:themeColor="text1"/>
          <w:sz w:val="32"/>
          <w:szCs w:val="32"/>
          <w:highlight w:val="none"/>
        </w:rPr>
      </w:pPr>
      <w:r>
        <w:rPr>
          <w:rFonts w:hint="eastAsia" w:ascii="黑体" w:hAnsi="黑体" w:eastAsia="黑体"/>
          <w:color w:val="000000" w:themeColor="text1"/>
          <w:sz w:val="32"/>
          <w:szCs w:val="32"/>
          <w:highlight w:val="none"/>
        </w:rPr>
        <w:t>七、其他重要事项的情况</w:t>
      </w:r>
    </w:p>
    <w:p>
      <w:pPr>
        <w:spacing w:line="540" w:lineRule="exact"/>
        <w:ind w:firstLine="643" w:firstLineChars="200"/>
        <w:rPr>
          <w:rFonts w:ascii="楷体_GB2312" w:eastAsia="楷体_GB2312"/>
          <w:b/>
          <w:bCs/>
          <w:color w:val="000000" w:themeColor="text1"/>
          <w:sz w:val="32"/>
          <w:szCs w:val="32"/>
          <w:highlight w:val="none"/>
        </w:rPr>
      </w:pPr>
      <w:r>
        <w:rPr>
          <w:rFonts w:hint="eastAsia" w:ascii="楷体_GB2312" w:eastAsia="楷体_GB2312"/>
          <w:b/>
          <w:bCs/>
          <w:color w:val="000000" w:themeColor="text1"/>
          <w:sz w:val="32"/>
          <w:szCs w:val="32"/>
          <w:highlight w:val="none"/>
        </w:rPr>
        <w:t>（一）国有资产占用情况说明</w:t>
      </w:r>
    </w:p>
    <w:p>
      <w:pPr>
        <w:spacing w:line="540" w:lineRule="exact"/>
        <w:ind w:firstLine="640" w:firstLineChars="200"/>
        <w:rPr>
          <w:rFonts w:ascii="仿宋_GB2312" w:eastAsia="仿宋_GB2312"/>
          <w:color w:val="000000" w:themeColor="text1"/>
          <w:sz w:val="32"/>
          <w:szCs w:val="32"/>
          <w:highlight w:val="none"/>
        </w:rPr>
      </w:pPr>
      <w:bookmarkStart w:id="91" w:name="OLE_LINK97"/>
      <w:r>
        <w:rPr>
          <w:rFonts w:hint="eastAsia" w:ascii="仿宋_GB2312" w:eastAsia="仿宋_GB2312"/>
          <w:color w:val="000000" w:themeColor="text1"/>
          <w:sz w:val="32"/>
          <w:szCs w:val="32"/>
          <w:highlight w:val="none"/>
        </w:rPr>
        <w:t>截至2018年12月31日，单位共有车辆</w:t>
      </w:r>
      <w:r>
        <w:rPr>
          <w:rFonts w:hint="eastAsia" w:ascii="仿宋_GB2312" w:eastAsia="仿宋_GB2312"/>
          <w:sz w:val="32"/>
          <w:szCs w:val="32"/>
          <w:highlight w:val="none"/>
        </w:rPr>
        <w:t>9</w:t>
      </w:r>
      <w:r>
        <w:rPr>
          <w:rFonts w:hint="eastAsia" w:ascii="仿宋_GB2312" w:eastAsia="仿宋_GB2312"/>
          <w:color w:val="000000" w:themeColor="text1"/>
          <w:sz w:val="32"/>
          <w:szCs w:val="32"/>
          <w:highlight w:val="none"/>
        </w:rPr>
        <w:t>辆，价值</w:t>
      </w:r>
      <w:r>
        <w:rPr>
          <w:rFonts w:hint="eastAsia" w:ascii="仿宋_GB2312" w:eastAsia="仿宋_GB2312"/>
          <w:sz w:val="32"/>
          <w:szCs w:val="32"/>
          <w:highlight w:val="none"/>
        </w:rPr>
        <w:t>164.48</w:t>
      </w:r>
      <w:r>
        <w:rPr>
          <w:rFonts w:hint="eastAsia" w:ascii="仿宋_GB2312" w:eastAsia="仿宋_GB2312"/>
          <w:color w:val="000000" w:themeColor="text1"/>
          <w:sz w:val="32"/>
          <w:szCs w:val="32"/>
          <w:highlight w:val="none"/>
        </w:rPr>
        <w:t>万元，其中：部级领导干部用车</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辆、主要领导干部用车</w:t>
      </w:r>
      <w:r>
        <w:rPr>
          <w:rFonts w:ascii="仿宋_GB2312" w:eastAsia="仿宋_GB2312"/>
          <w:color w:val="000000" w:themeColor="text1"/>
          <w:sz w:val="32"/>
          <w:szCs w:val="32"/>
          <w:highlight w:val="none"/>
        </w:rPr>
        <w:t>2</w:t>
      </w:r>
      <w:r>
        <w:rPr>
          <w:rFonts w:hint="eastAsia" w:ascii="仿宋_GB2312" w:eastAsia="仿宋_GB2312"/>
          <w:color w:val="000000" w:themeColor="text1"/>
          <w:sz w:val="32"/>
          <w:szCs w:val="32"/>
          <w:highlight w:val="none"/>
        </w:rPr>
        <w:t>辆、机要通信用车</w:t>
      </w:r>
      <w:r>
        <w:rPr>
          <w:rFonts w:ascii="仿宋_GB2312" w:eastAsia="仿宋_GB2312"/>
          <w:color w:val="000000" w:themeColor="text1"/>
          <w:sz w:val="32"/>
          <w:szCs w:val="32"/>
          <w:highlight w:val="none"/>
        </w:rPr>
        <w:t>0</w:t>
      </w:r>
      <w:r>
        <w:rPr>
          <w:rFonts w:hint="eastAsia" w:ascii="仿宋_GB2312" w:eastAsia="仿宋_GB2312"/>
          <w:color w:val="000000" w:themeColor="text1"/>
          <w:sz w:val="32"/>
          <w:szCs w:val="32"/>
          <w:highlight w:val="none"/>
        </w:rPr>
        <w:t>辆、应急保障用车</w:t>
      </w:r>
      <w:r>
        <w:rPr>
          <w:rFonts w:ascii="仿宋_GB2312" w:eastAsia="仿宋_GB2312"/>
          <w:color w:val="000000" w:themeColor="text1"/>
          <w:sz w:val="32"/>
          <w:szCs w:val="32"/>
          <w:highlight w:val="none"/>
        </w:rPr>
        <w:t>0</w:t>
      </w:r>
      <w:r>
        <w:rPr>
          <w:rFonts w:hint="eastAsia" w:ascii="仿宋_GB2312" w:eastAsia="仿宋_GB2312"/>
          <w:color w:val="000000" w:themeColor="text1"/>
          <w:sz w:val="32"/>
          <w:szCs w:val="32"/>
          <w:highlight w:val="none"/>
        </w:rPr>
        <w:t>辆、执法执勤用车</w:t>
      </w:r>
      <w:r>
        <w:rPr>
          <w:rFonts w:hint="eastAsia" w:ascii="仿宋_GB2312" w:eastAsia="仿宋_GB2312"/>
          <w:sz w:val="32"/>
          <w:szCs w:val="32"/>
          <w:highlight w:val="none"/>
        </w:rPr>
        <w:t>7</w:t>
      </w:r>
      <w:r>
        <w:rPr>
          <w:rFonts w:hint="eastAsia" w:ascii="仿宋_GB2312" w:eastAsia="仿宋_GB2312"/>
          <w:color w:val="000000" w:themeColor="text1"/>
          <w:sz w:val="32"/>
          <w:szCs w:val="32"/>
          <w:highlight w:val="none"/>
        </w:rPr>
        <w:t>辆、特种专业技术用车</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辆、离退休干部用车</w:t>
      </w:r>
      <w:r>
        <w:rPr>
          <w:rFonts w:ascii="仿宋_GB2312" w:eastAsia="仿宋_GB2312"/>
          <w:color w:val="000000" w:themeColor="text1"/>
          <w:sz w:val="32"/>
          <w:szCs w:val="32"/>
          <w:highlight w:val="none"/>
        </w:rPr>
        <w:t>0</w:t>
      </w:r>
      <w:r>
        <w:rPr>
          <w:rFonts w:hint="eastAsia" w:ascii="仿宋_GB2312" w:eastAsia="仿宋_GB2312"/>
          <w:color w:val="000000" w:themeColor="text1"/>
          <w:sz w:val="32"/>
          <w:szCs w:val="32"/>
          <w:highlight w:val="none"/>
        </w:rPr>
        <w:t>辆、其他用车</w:t>
      </w:r>
      <w:r>
        <w:rPr>
          <w:rFonts w:ascii="仿宋_GB2312" w:eastAsia="仿宋_GB2312"/>
          <w:color w:val="000000" w:themeColor="text1"/>
          <w:sz w:val="32"/>
          <w:szCs w:val="32"/>
          <w:highlight w:val="none"/>
        </w:rPr>
        <w:t>0</w:t>
      </w:r>
      <w:r>
        <w:rPr>
          <w:rFonts w:hint="eastAsia" w:ascii="仿宋_GB2312" w:eastAsia="仿宋_GB2312"/>
          <w:color w:val="000000" w:themeColor="text1"/>
          <w:sz w:val="32"/>
          <w:szCs w:val="32"/>
          <w:highlight w:val="none"/>
        </w:rPr>
        <w:t>辆，其他用车主要是：</w:t>
      </w:r>
      <w:r>
        <w:rPr>
          <w:rFonts w:hint="eastAsia" w:ascii="仿宋_GB2312" w:eastAsia="仿宋_GB2312"/>
          <w:color w:val="000000" w:themeColor="text1"/>
          <w:sz w:val="32"/>
          <w:szCs w:val="32"/>
          <w:highlight w:val="none"/>
          <w:lang w:eastAsia="zh-CN"/>
        </w:rPr>
        <w:t>无其他用车</w:t>
      </w:r>
      <w:r>
        <w:rPr>
          <w:rFonts w:ascii="仿宋_GB2312" w:eastAsia="仿宋_GB2312"/>
          <w:color w:val="000000" w:themeColor="text1"/>
          <w:sz w:val="32"/>
          <w:szCs w:val="32"/>
          <w:highlight w:val="none"/>
        </w:rPr>
        <w:t>；</w:t>
      </w:r>
      <w:r>
        <w:rPr>
          <w:rFonts w:hint="eastAsia" w:ascii="仿宋_GB2312" w:eastAsia="仿宋_GB2312"/>
          <w:color w:val="000000" w:themeColor="text1"/>
          <w:sz w:val="32"/>
          <w:szCs w:val="32"/>
          <w:highlight w:val="none"/>
        </w:rPr>
        <w:t>单位价值50万元以上通用设备</w:t>
      </w:r>
      <w:r>
        <w:rPr>
          <w:rFonts w:hint="eastAsia" w:ascii="仿宋_GB2312" w:eastAsia="仿宋_GB2312"/>
          <w:sz w:val="32"/>
          <w:szCs w:val="32"/>
          <w:highlight w:val="none"/>
        </w:rPr>
        <w:t>2</w:t>
      </w:r>
      <w:r>
        <w:rPr>
          <w:rFonts w:hint="eastAsia" w:ascii="仿宋_GB2312" w:eastAsia="仿宋_GB2312"/>
          <w:color w:val="000000" w:themeColor="text1"/>
          <w:sz w:val="32"/>
          <w:szCs w:val="32"/>
          <w:highlight w:val="none"/>
        </w:rPr>
        <w:t>台（套）、单位价值100万元以上专用设备</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台（套）。</w:t>
      </w:r>
      <w:bookmarkEnd w:id="91"/>
    </w:p>
    <w:p>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（二）预算绩效情况的说明</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2018年度，本部门单位预算绩效自评情况：</w:t>
      </w:r>
      <w:r>
        <w:rPr>
          <w:rFonts w:ascii="仿宋_GB2312" w:eastAsia="仿宋_GB2312"/>
          <w:sz w:val="32"/>
          <w:szCs w:val="32"/>
          <w:highlight w:val="none"/>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人民检察院2018年度部门预算总额为370.92万元，执行金额为370.92万元，预算执行率为100%。本次自评共涉及项目数2个，其中已完成项目2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rPr>
          <w:highlight w:val="none"/>
        </w:rPr>
      </w:pPr>
      <w:r>
        <w:rPr>
          <w:rFonts w:ascii="仿宋_GB2312" w:hAnsi="仿宋_GB2312" w:eastAsia="仿宋_GB2312" w:cs="仿宋_GB2312"/>
          <w:b w:val="0"/>
          <w:color w:val="000000"/>
          <w:sz w:val="32"/>
          <w:highlight w:val="none"/>
          <w:u w:val="none"/>
        </w:rPr>
        <w:t>1、英吉沙县检察院技侦业务大楼及附属工程项目绩效自评综述：根据年初设定的绩效目标，该项目绩效自评得分为96分。项目全年预算数为238万元，执行数为238万元，完成预算的100%。主要产出和效果：为办理各类案件提供便利条件，为当地社会</w:t>
      </w:r>
      <w:r>
        <w:rPr>
          <w:rFonts w:hint="eastAsia" w:ascii="仿宋_GB2312" w:hAnsi="仿宋_GB2312" w:eastAsia="仿宋_GB2312" w:cs="仿宋_GB2312"/>
          <w:b w:val="0"/>
          <w:color w:val="000000"/>
          <w:sz w:val="32"/>
          <w:highlight w:val="none"/>
          <w:u w:val="none"/>
          <w:lang w:eastAsia="zh-CN"/>
        </w:rPr>
        <w:t>和谐</w:t>
      </w:r>
      <w:r>
        <w:rPr>
          <w:rFonts w:ascii="仿宋_GB2312" w:hAnsi="仿宋_GB2312" w:eastAsia="仿宋_GB2312" w:cs="仿宋_GB2312"/>
          <w:b w:val="0"/>
          <w:color w:val="000000"/>
          <w:sz w:val="32"/>
          <w:highlight w:val="none"/>
          <w:u w:val="none"/>
        </w:rPr>
        <w:t>发挥应有的检察职能。发现的问题及原因：无。下一步改进措施： 提高资金支付执行力度。</w:t>
      </w:r>
    </w:p>
    <w:p>
      <w:pPr>
        <w:spacing w:line="540" w:lineRule="exact"/>
        <w:ind w:left="-1" w:right="-1" w:firstLine="646"/>
        <w:jc w:val="left"/>
        <w:rPr>
          <w:highlight w:val="none"/>
        </w:rPr>
      </w:pPr>
      <w:r>
        <w:rPr>
          <w:rFonts w:ascii="仿宋_GB2312" w:hAnsi="仿宋_GB2312" w:eastAsia="仿宋_GB2312" w:cs="仿宋_GB2312"/>
          <w:b w:val="0"/>
          <w:color w:val="000000"/>
          <w:sz w:val="32"/>
          <w:highlight w:val="none"/>
          <w:u w:val="none"/>
        </w:rPr>
        <w:t>2、支出项目绩效自评综述：根据年初设定的绩效目标，该项目绩效自评得分为98分。项目全年预算数为132.92万元，执行数为132.92万元，完成预算的100%。主要产出和效果：发挥检察职能，办理各类案件，维护本地社会和谐。发现的问题及原因：无。下一步改进措施： 进一步做好预算的前瞻性。</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highlight w:val="none"/>
        </w:rPr>
      </w:pPr>
      <w:r>
        <w:rPr>
          <w:rFonts w:hint="eastAsia" w:ascii="仿宋_GB2312" w:eastAsia="仿宋_GB2312"/>
          <w:sz w:val="32"/>
          <w:szCs w:val="32"/>
          <w:highlight w:val="none"/>
        </w:rPr>
        <w:t>有关项目自评情况可附项目支出绩效自评表。</w:t>
      </w:r>
    </w:p>
    <w:p>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第三部分 专业名词解释</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结余分配：反映单位当年结余的分配情况。</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highlight w:val="none"/>
          <w:lang w:val="en-GB"/>
        </w:rPr>
      </w:pPr>
      <w:r>
        <w:rPr>
          <w:rFonts w:hint="eastAsia" w:ascii="仿宋_GB2312" w:eastAsia="仿宋_GB2312"/>
          <w:color w:val="000000" w:themeColor="text1"/>
          <w:sz w:val="32"/>
          <w:szCs w:val="32"/>
          <w:highlight w:val="none"/>
        </w:rPr>
        <w:t>本单位支出功能分类说明</w:t>
      </w:r>
      <w:r>
        <w:rPr>
          <w:rFonts w:hint="eastAsia" w:ascii="仿宋_GB2312" w:hAnsi="Calibri" w:eastAsia="仿宋_GB2312"/>
          <w:color w:val="000000" w:themeColor="text1"/>
          <w:sz w:val="32"/>
          <w:szCs w:val="32"/>
          <w:highlight w:val="none"/>
          <w:lang w:val="en-GB"/>
        </w:rPr>
        <w:t>。</w:t>
      </w:r>
      <w:r>
        <w:rPr>
          <w:rFonts w:hint="eastAsia" w:ascii="仿宋_GB2312" w:eastAsia="仿宋_GB2312"/>
          <w:sz w:val="32"/>
          <w:szCs w:val="32"/>
          <w:highlight w:val="none"/>
        </w:rPr>
        <w:t>221（类）02（款）01（项）指：住房公积金。204（类）04（款）01（项）指：行政运行。204（类）04（款）99（项）指：其他检察支出。204（类）04（款）02（项）指：一般行政管理事务。208（类）05（款）05（项）指：机关事业单位基本养老保险缴费支出。</w:t>
      </w:r>
    </w:p>
    <w:p>
      <w:pPr>
        <w:spacing w:line="540" w:lineRule="exact"/>
        <w:ind w:firstLine="640" w:firstLineChars="200"/>
        <w:rPr>
          <w:rFonts w:ascii="仿宋_GB2312" w:hAnsi="Calibri" w:eastAsia="仿宋_GB2312"/>
          <w:sz w:val="32"/>
          <w:szCs w:val="32"/>
          <w:highlight w:val="none"/>
          <w:lang w:val="en-GB"/>
        </w:rPr>
      </w:pPr>
      <w:r>
        <w:rPr>
          <w:rFonts w:hint="eastAsia" w:ascii="仿宋_GB2312" w:eastAsia="仿宋_GB2312"/>
          <w:sz w:val="32"/>
          <w:szCs w:val="32"/>
          <w:highlight w:val="none"/>
        </w:rPr>
        <w:t>其他有关说明内容</w:t>
      </w:r>
      <w:r>
        <w:rPr>
          <w:rFonts w:hint="eastAsia" w:ascii="仿宋_GB2312" w:hAnsi="Calibri" w:eastAsia="仿宋_GB2312"/>
          <w:sz w:val="32"/>
          <w:szCs w:val="32"/>
          <w:highlight w:val="none"/>
          <w:lang w:val="en-GB"/>
        </w:rPr>
        <w:t>。</w:t>
      </w:r>
    </w:p>
    <w:p>
      <w:pPr>
        <w:spacing w:line="540" w:lineRule="exact"/>
        <w:ind w:firstLine="643" w:firstLineChars="200"/>
        <w:rPr>
          <w:rFonts w:ascii="仿宋_GB2312" w:eastAsia="仿宋_GB2312"/>
          <w:b/>
          <w:sz w:val="32"/>
          <w:szCs w:val="32"/>
          <w:highlight w:val="none"/>
        </w:rPr>
      </w:pPr>
    </w:p>
    <w:p>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第四部分 部门决算公开的8张报表（见附表）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一、《收入支出决算总表》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二、《收入决算表》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三、《支出决算表》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四、《财政拨款收入支出决算总表》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五、《一般公共预算财政拨款支出决算表》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六、《一般公共预算财政拨款基本支出决算表》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七、《一般公共预算财政拨款“三公”经费支出决算表》</w:t>
      </w:r>
    </w:p>
    <w:p>
      <w:pPr>
        <w:spacing w:line="540" w:lineRule="exact"/>
        <w:ind w:firstLine="640" w:firstLineChars="200"/>
        <w:rPr>
          <w:rFonts w:hint="eastAsia" w:ascii="仿宋_GB2312" w:eastAsia="仿宋_GB2312"/>
          <w:sz w:val="32"/>
          <w:szCs w:val="32"/>
          <w:highlight w:val="none"/>
        </w:rPr>
      </w:pPr>
      <w:r>
        <w:rPr>
          <w:rFonts w:hint="eastAsia" w:ascii="仿宋_GB2312" w:hAnsi="宋体" w:eastAsia="仿宋_GB2312"/>
          <w:sz w:val="32"/>
          <w:szCs w:val="32"/>
          <w:highlight w:val="none"/>
        </w:rPr>
        <w:t>八、</w:t>
      </w:r>
      <w:r>
        <w:rPr>
          <w:rFonts w:hint="eastAsia" w:ascii="仿宋_GB2312" w:eastAsia="仿宋_GB2312"/>
          <w:sz w:val="32"/>
          <w:szCs w:val="32"/>
          <w:highlight w:val="none"/>
        </w:rPr>
        <w:t>《政府性基金预算财政拨款收入支出决算表》</w:t>
      </w:r>
    </w:p>
    <w:p>
      <w:pPr>
        <w:spacing w:line="540" w:lineRule="exact"/>
        <w:ind w:firstLine="640" w:firstLineChars="200"/>
        <w:rPr>
          <w:rFonts w:hint="eastAsia" w:ascii="仿宋_GB2312" w:eastAsia="仿宋_GB2312"/>
          <w:sz w:val="32"/>
          <w:szCs w:val="32"/>
          <w:highlight w:val="none"/>
        </w:rPr>
      </w:pPr>
    </w:p>
    <w:p>
      <w:pPr>
        <w:spacing w:line="540" w:lineRule="exact"/>
        <w:ind w:firstLine="640" w:firstLineChars="200"/>
        <w:rPr>
          <w:rFonts w:hint="eastAsia" w:ascii="仿宋_GB2312" w:eastAsia="仿宋_GB2312"/>
          <w:sz w:val="32"/>
          <w:szCs w:val="32"/>
          <w:highlight w:val="none"/>
        </w:rPr>
      </w:pPr>
    </w:p>
    <w:p>
      <w:pPr>
        <w:spacing w:line="540" w:lineRule="exact"/>
        <w:ind w:firstLine="640" w:firstLineChars="200"/>
        <w:rPr>
          <w:rFonts w:hint="eastAsia" w:ascii="仿宋_GB2312" w:eastAsia="仿宋_GB2312"/>
          <w:sz w:val="32"/>
          <w:szCs w:val="32"/>
          <w:highlight w:val="none"/>
        </w:rPr>
      </w:pPr>
    </w:p>
    <w:p>
      <w:pPr>
        <w:spacing w:line="540" w:lineRule="exact"/>
        <w:ind w:firstLine="640" w:firstLineChars="200"/>
        <w:rPr>
          <w:rFonts w:hint="eastAsia" w:ascii="仿宋_GB2312" w:eastAsia="仿宋_GB2312"/>
          <w:sz w:val="32"/>
          <w:szCs w:val="32"/>
          <w:highlight w:val="none"/>
        </w:rPr>
      </w:pPr>
    </w:p>
    <w:p>
      <w:pPr>
        <w:spacing w:line="540" w:lineRule="exact"/>
        <w:ind w:firstLine="640" w:firstLineChars="200"/>
        <w:rPr>
          <w:rFonts w:hint="eastAsia" w:ascii="仿宋_GB2312" w:eastAsia="仿宋_GB2312"/>
          <w:sz w:val="32"/>
          <w:szCs w:val="32"/>
          <w:highlight w:val="none"/>
        </w:rPr>
      </w:pPr>
    </w:p>
    <w:p>
      <w:pPr>
        <w:spacing w:line="540" w:lineRule="exact"/>
        <w:ind w:firstLine="640" w:firstLineChars="200"/>
        <w:rPr>
          <w:rFonts w:hint="eastAsia" w:ascii="仿宋_GB2312" w:eastAsia="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highlight w:val="none"/>
        </w:rPr>
      </w:pPr>
      <w:r>
        <w:rPr>
          <w:rFonts w:ascii="仿宋_GB2312" w:eastAsia="仿宋_GB2312"/>
          <w:sz w:val="32"/>
          <w:szCs w:val="32"/>
          <w:highlight w:val="none"/>
        </w:rPr>
        <w:t>英吉沙县人民检察院</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2019年8月15日</w:t>
      </w:r>
    </w:p>
    <w:p>
      <w:pPr>
        <w:spacing w:line="540" w:lineRule="exact"/>
        <w:ind w:firstLine="640" w:firstLineChars="200"/>
        <w:rPr>
          <w:rFonts w:hint="eastAsia" w:ascii="仿宋_GB2312" w:eastAsia="仿宋_GB2312"/>
          <w:sz w:val="32"/>
          <w:szCs w:val="32"/>
          <w:highlight w:val="none"/>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highlight w:val="none"/>
        </w:rPr>
      </w:pPr>
    </w:p>
    <w:bookmarkEnd w:id="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2B760A2"/>
    <w:rsid w:val="13B960C5"/>
    <w:rsid w:val="152777F4"/>
    <w:rsid w:val="15C674B6"/>
    <w:rsid w:val="18D54A0D"/>
    <w:rsid w:val="1A25176B"/>
    <w:rsid w:val="1A4106A0"/>
    <w:rsid w:val="1A4F5437"/>
    <w:rsid w:val="1AB77CD0"/>
    <w:rsid w:val="1BD27012"/>
    <w:rsid w:val="1E807156"/>
    <w:rsid w:val="1EA657F6"/>
    <w:rsid w:val="1F097CB6"/>
    <w:rsid w:val="1F975CCB"/>
    <w:rsid w:val="2166156B"/>
    <w:rsid w:val="21B02D83"/>
    <w:rsid w:val="22A236F5"/>
    <w:rsid w:val="23995975"/>
    <w:rsid w:val="2432220E"/>
    <w:rsid w:val="248303BA"/>
    <w:rsid w:val="24837E47"/>
    <w:rsid w:val="252E01AA"/>
    <w:rsid w:val="2680023E"/>
    <w:rsid w:val="29680352"/>
    <w:rsid w:val="2A020F75"/>
    <w:rsid w:val="2B007AEE"/>
    <w:rsid w:val="2B08766A"/>
    <w:rsid w:val="2BC14C56"/>
    <w:rsid w:val="2C1B026F"/>
    <w:rsid w:val="2C5673B9"/>
    <w:rsid w:val="2CC61F55"/>
    <w:rsid w:val="2EF7452F"/>
    <w:rsid w:val="2F1D13B4"/>
    <w:rsid w:val="2FAA3DA6"/>
    <w:rsid w:val="30682E1F"/>
    <w:rsid w:val="30774A89"/>
    <w:rsid w:val="30E210D2"/>
    <w:rsid w:val="311371D6"/>
    <w:rsid w:val="31EB64C9"/>
    <w:rsid w:val="336D0D6F"/>
    <w:rsid w:val="352E4BEC"/>
    <w:rsid w:val="37DD5594"/>
    <w:rsid w:val="38F24FA8"/>
    <w:rsid w:val="3A98342A"/>
    <w:rsid w:val="3AB6780E"/>
    <w:rsid w:val="3AD56D70"/>
    <w:rsid w:val="3B2920C2"/>
    <w:rsid w:val="3BE41ABD"/>
    <w:rsid w:val="3C5421A9"/>
    <w:rsid w:val="3D903B21"/>
    <w:rsid w:val="3DD66645"/>
    <w:rsid w:val="3F440741"/>
    <w:rsid w:val="41FC306C"/>
    <w:rsid w:val="44BE5554"/>
    <w:rsid w:val="44F4643B"/>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5F2B2B29"/>
    <w:rsid w:val="602D2E37"/>
    <w:rsid w:val="61460FBE"/>
    <w:rsid w:val="61587BDD"/>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ScaleCrop>false</ScaleCrop>
  <LinksUpToDate>false</LinksUpToDate>
  <CharactersWithSpaces>7696</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2021-07-14T11:06:47Z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y fmtid="{D5CDD505-2E9C-101B-9397-08002B2CF9AE}" pid="3" name="ICV">
    <vt:lpwstr>999373D1956442539082EC74BC40B831</vt:lpwstr>
  </property>
</Properties>
</file>